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6A43" w14:textId="77777777" w:rsidR="00B45DBF" w:rsidRPr="006032A8" w:rsidRDefault="00000510" w:rsidP="1B4C9E48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  <w:lang w:val="es-PA"/>
        </w:rPr>
      </w:pPr>
      <w:r w:rsidRPr="006032A8">
        <w:rPr>
          <w:b/>
          <w:noProof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35D89A0" wp14:editId="33F45388">
            <wp:simplePos x="0" y="0"/>
            <wp:positionH relativeFrom="page">
              <wp:align>right</wp:align>
            </wp:positionH>
            <wp:positionV relativeFrom="page">
              <wp:posOffset>-182880</wp:posOffset>
            </wp:positionV>
            <wp:extent cx="7858125" cy="13013055"/>
            <wp:effectExtent l="0" t="0" r="9525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alphaModFix amt="54000"/>
                    </a:blip>
                    <a:srcRect l="24750" t="4447" r="23684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301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32A8">
        <w:rPr>
          <w:b/>
          <w:bCs/>
          <w:color w:val="000000"/>
          <w:sz w:val="32"/>
          <w:szCs w:val="32"/>
          <w:lang w:val="es-PA"/>
        </w:rPr>
        <w:t>Más allá de la contabilidad: comprensión y aplicación de la NIIF 17 en Panamá Este</w:t>
      </w:r>
    </w:p>
    <w:p w14:paraId="3EE80BD1" w14:textId="77777777" w:rsidR="00B45DBF" w:rsidRPr="006032A8" w:rsidRDefault="00000510">
      <w:pPr>
        <w:widowControl/>
        <w:jc w:val="center"/>
        <w:rPr>
          <w:color w:val="000000"/>
          <w:lang w:val="es-PA"/>
        </w:rPr>
      </w:pPr>
      <w:r w:rsidRPr="006032A8">
        <w:rPr>
          <w:color w:val="000000"/>
          <w:lang w:val="es-PA"/>
        </w:rPr>
        <w:t>Centro Regional Universitario Panamá Este, Panamá Este. Panamá</w:t>
      </w:r>
    </w:p>
    <w:p w14:paraId="4174FCF7" w14:textId="77777777" w:rsidR="00B45DBF" w:rsidRPr="006032A8" w:rsidRDefault="00000510" w:rsidP="1B4C9E48">
      <w:pPr>
        <w:widowControl/>
        <w:jc w:val="center"/>
        <w:rPr>
          <w:color w:val="000000"/>
          <w:lang w:val="es-PA"/>
        </w:rPr>
      </w:pPr>
      <w:bookmarkStart w:id="0" w:name="_nk1puxejrmle"/>
      <w:bookmarkEnd w:id="0"/>
      <w:r w:rsidRPr="006032A8">
        <w:rPr>
          <w:b/>
          <w:bCs/>
          <w:color w:val="000000" w:themeColor="text1"/>
          <w:lang w:val="es-PA"/>
        </w:rPr>
        <w:t xml:space="preserve">Carpintero, Elicenia </w:t>
      </w:r>
      <w:r w:rsidRPr="006032A8">
        <w:rPr>
          <w:color w:val="000000" w:themeColor="text1"/>
          <w:lang w:val="es-PA"/>
        </w:rPr>
        <w:t xml:space="preserve">Identificador ORCID: </w:t>
      </w:r>
      <w:r w:rsidR="00007CB9">
        <w:fldChar w:fldCharType="begin"/>
      </w:r>
      <w:r w:rsidR="00007CB9" w:rsidRPr="006032A8">
        <w:rPr>
          <w:lang w:val="es-PA"/>
        </w:rPr>
        <w:instrText>HYPERLINK "https://orcid.org/0009-0005-5726-049X" \h</w:instrText>
      </w:r>
      <w:r w:rsidR="00007CB9">
        <w:fldChar w:fldCharType="separate"/>
      </w:r>
      <w:r w:rsidRPr="006032A8">
        <w:rPr>
          <w:color w:val="0000FF"/>
          <w:u w:val="single"/>
          <w:lang w:val="es-PA"/>
        </w:rPr>
        <w:t>https://orcid.org/0009-0005-5726-049X</w:t>
      </w:r>
      <w:r w:rsidR="00007CB9">
        <w:rPr>
          <w:color w:val="0000FF"/>
          <w:u w:val="single"/>
          <w:lang w:val="en-US"/>
        </w:rPr>
        <w:fldChar w:fldCharType="end"/>
      </w:r>
    </w:p>
    <w:p w14:paraId="2F985C14" w14:textId="77777777" w:rsidR="00B45DBF" w:rsidRPr="006032A8" w:rsidRDefault="00000510">
      <w:pPr>
        <w:widowControl/>
        <w:jc w:val="center"/>
        <w:rPr>
          <w:color w:val="000000"/>
          <w:lang w:val="es-PA"/>
        </w:rPr>
      </w:pPr>
      <w:r w:rsidRPr="006032A8">
        <w:rPr>
          <w:color w:val="000000"/>
          <w:lang w:val="es-PA"/>
        </w:rPr>
        <w:t xml:space="preserve">Correo:  </w:t>
      </w:r>
      <w:r w:rsidR="00007CB9">
        <w:fldChar w:fldCharType="begin"/>
      </w:r>
      <w:r w:rsidR="00007CB9" w:rsidRPr="006032A8">
        <w:rPr>
          <w:lang w:val="es-PA"/>
        </w:rPr>
        <w:instrText>HYPERLINK "mailto:crpntrelicenia19@gmail.com" \h</w:instrText>
      </w:r>
      <w:r w:rsidR="00007CB9">
        <w:fldChar w:fldCharType="separate"/>
      </w:r>
      <w:r w:rsidRPr="006032A8">
        <w:rPr>
          <w:color w:val="0000FF"/>
          <w:u w:val="single"/>
          <w:lang w:val="es-PA"/>
        </w:rPr>
        <w:t>crpntrelicenia19@gmail.com</w:t>
      </w:r>
      <w:r w:rsidR="00007CB9">
        <w:rPr>
          <w:color w:val="0000FF"/>
          <w:u w:val="single"/>
        </w:rPr>
        <w:fldChar w:fldCharType="end"/>
      </w:r>
    </w:p>
    <w:p w14:paraId="05396368" w14:textId="77777777" w:rsidR="00B45DBF" w:rsidRPr="006032A8" w:rsidRDefault="00000510" w:rsidP="1B4C9E48">
      <w:pPr>
        <w:widowControl/>
        <w:jc w:val="center"/>
        <w:rPr>
          <w:color w:val="000000"/>
          <w:lang w:val="es-PA"/>
        </w:rPr>
      </w:pPr>
      <w:r w:rsidRPr="006032A8">
        <w:rPr>
          <w:b/>
          <w:bCs/>
          <w:color w:val="000000" w:themeColor="text1"/>
          <w:lang w:val="es-PA"/>
        </w:rPr>
        <w:t xml:space="preserve">Concepción, Yaiseth </w:t>
      </w:r>
      <w:r w:rsidRPr="006032A8">
        <w:rPr>
          <w:color w:val="000000" w:themeColor="text1"/>
          <w:lang w:val="es-PA"/>
        </w:rPr>
        <w:t xml:space="preserve">Identificador ORCID: </w:t>
      </w:r>
      <w:r w:rsidR="00007CB9">
        <w:fldChar w:fldCharType="begin"/>
      </w:r>
      <w:r w:rsidR="00007CB9" w:rsidRPr="006032A8">
        <w:rPr>
          <w:lang w:val="es-PA"/>
        </w:rPr>
        <w:instrText>HYPERLINK "https://orcid.org/0009-0006-0729-6352" \h</w:instrText>
      </w:r>
      <w:r w:rsidR="00007CB9">
        <w:fldChar w:fldCharType="separate"/>
      </w:r>
      <w:r w:rsidRPr="006032A8">
        <w:rPr>
          <w:color w:val="0000FF"/>
          <w:u w:val="single"/>
          <w:lang w:val="es-PA"/>
        </w:rPr>
        <w:t>https://orcid.org/0009-0006-0729-6352</w:t>
      </w:r>
      <w:r w:rsidR="00007CB9">
        <w:rPr>
          <w:color w:val="0000FF"/>
          <w:u w:val="single"/>
          <w:lang w:val="en-US"/>
        </w:rPr>
        <w:fldChar w:fldCharType="end"/>
      </w:r>
    </w:p>
    <w:p w14:paraId="130F4296" w14:textId="77777777" w:rsidR="00B45DBF" w:rsidRPr="006032A8" w:rsidRDefault="00000510">
      <w:pPr>
        <w:widowControl/>
        <w:jc w:val="center"/>
        <w:rPr>
          <w:color w:val="000000"/>
          <w:lang w:val="es-PA"/>
        </w:rPr>
      </w:pPr>
      <w:r w:rsidRPr="006032A8">
        <w:rPr>
          <w:color w:val="000000"/>
          <w:lang w:val="es-PA"/>
        </w:rPr>
        <w:t xml:space="preserve">Correo: </w:t>
      </w:r>
      <w:r w:rsidR="00007CB9">
        <w:fldChar w:fldCharType="begin"/>
      </w:r>
      <w:r w:rsidR="00007CB9" w:rsidRPr="006032A8">
        <w:rPr>
          <w:lang w:val="es-PA"/>
        </w:rPr>
        <w:instrText>HYPERLINK "mailto:saraiconcepcion8@gmail.com" \h</w:instrText>
      </w:r>
      <w:r w:rsidR="00007CB9">
        <w:fldChar w:fldCharType="separate"/>
      </w:r>
      <w:r w:rsidRPr="006032A8">
        <w:rPr>
          <w:color w:val="0000FF"/>
          <w:u w:val="single"/>
          <w:lang w:val="es-PA"/>
        </w:rPr>
        <w:t>saraiconcepcion8@gmail.com</w:t>
      </w:r>
      <w:r w:rsidR="00007CB9">
        <w:rPr>
          <w:color w:val="0000FF"/>
          <w:u w:val="single"/>
        </w:rPr>
        <w:fldChar w:fldCharType="end"/>
      </w:r>
    </w:p>
    <w:p w14:paraId="793BE247" w14:textId="77777777" w:rsidR="00B45DBF" w:rsidRPr="006032A8" w:rsidRDefault="00000510" w:rsidP="1B4C9E48">
      <w:pPr>
        <w:widowControl/>
        <w:jc w:val="center"/>
        <w:rPr>
          <w:color w:val="000000"/>
          <w:lang w:val="es-PA"/>
        </w:rPr>
      </w:pPr>
      <w:r w:rsidRPr="006032A8">
        <w:rPr>
          <w:b/>
          <w:bCs/>
          <w:color w:val="000000" w:themeColor="text1"/>
          <w:lang w:val="es-PA"/>
        </w:rPr>
        <w:t xml:space="preserve">Perea, Edén </w:t>
      </w:r>
      <w:r w:rsidRPr="006032A8">
        <w:rPr>
          <w:color w:val="000000" w:themeColor="text1"/>
          <w:lang w:val="es-PA"/>
        </w:rPr>
        <w:t xml:space="preserve">Identificador ORCID:  </w:t>
      </w:r>
      <w:r w:rsidR="00007CB9">
        <w:fldChar w:fldCharType="begin"/>
      </w:r>
      <w:r w:rsidR="00007CB9" w:rsidRPr="006032A8">
        <w:rPr>
          <w:lang w:val="es-PA"/>
        </w:rPr>
        <w:instrText>HYPERLINK "https://orcid.org/0009-0001-6188-7915" \h</w:instrText>
      </w:r>
      <w:r w:rsidR="00007CB9">
        <w:fldChar w:fldCharType="separate"/>
      </w:r>
      <w:r w:rsidRPr="006032A8">
        <w:rPr>
          <w:color w:val="0000FF"/>
          <w:u w:val="single"/>
          <w:lang w:val="es-PA"/>
        </w:rPr>
        <w:t>https://orcid.org/0009-0001-6188-7915</w:t>
      </w:r>
      <w:r w:rsidR="00007CB9">
        <w:rPr>
          <w:color w:val="0000FF"/>
          <w:u w:val="single"/>
          <w:lang w:val="en-US"/>
        </w:rPr>
        <w:fldChar w:fldCharType="end"/>
      </w:r>
    </w:p>
    <w:p w14:paraId="738E14DF" w14:textId="77777777" w:rsidR="00B45DBF" w:rsidRDefault="00000510">
      <w:pPr>
        <w:widowControl/>
        <w:jc w:val="center"/>
      </w:pPr>
      <w:proofErr w:type="spellStart"/>
      <w:r>
        <w:rPr>
          <w:color w:val="000000"/>
        </w:rPr>
        <w:t>Correo</w:t>
      </w:r>
      <w:proofErr w:type="spellEnd"/>
      <w:r>
        <w:rPr>
          <w:color w:val="000000"/>
        </w:rPr>
        <w:t xml:space="preserve">: </w:t>
      </w:r>
      <w:hyperlink r:id="rId8">
        <w:r>
          <w:rPr>
            <w:color w:val="0000FF"/>
            <w:u w:val="single"/>
          </w:rPr>
          <w:t>najerasayleen@gmail.com</w:t>
        </w:r>
      </w:hyperlink>
    </w:p>
    <w:tbl>
      <w:tblPr>
        <w:tblStyle w:val="a"/>
        <w:tblW w:w="115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2"/>
        <w:gridCol w:w="4118"/>
        <w:gridCol w:w="3915"/>
      </w:tblGrid>
      <w:tr w:rsidR="00B45DBF" w:rsidRPr="006032A8" w14:paraId="1DD7875A" w14:textId="77777777" w:rsidTr="1B4C9E48">
        <w:trPr>
          <w:trHeight w:val="4289"/>
          <w:jc w:val="center"/>
        </w:trPr>
        <w:tc>
          <w:tcPr>
            <w:tcW w:w="3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0075" w14:textId="77777777" w:rsidR="00B45DBF" w:rsidRPr="006032A8" w:rsidRDefault="0000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es-PA"/>
              </w:rPr>
            </w:pPr>
            <w:r w:rsidRPr="006032A8">
              <w:rPr>
                <w:b/>
                <w:sz w:val="24"/>
                <w:szCs w:val="24"/>
                <w:lang w:val="es-PA"/>
              </w:rPr>
              <w:t>INTRODUCCIÓN</w:t>
            </w:r>
          </w:p>
          <w:p w14:paraId="672A6659" w14:textId="77777777" w:rsidR="00B45DBF" w:rsidRPr="006032A8" w:rsidRDefault="00B45DBF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2"/>
                <w:szCs w:val="12"/>
                <w:lang w:val="es-PA"/>
              </w:rPr>
            </w:pPr>
          </w:p>
          <w:p w14:paraId="02BEAB8F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 xml:space="preserve">Este cartel tiene como propósito analizar y comprender la aplicación de la Norma Internacional de Información Financiera 17 en Panamá, a través de la elaboración de un cartel informativo. Durante el desarrollo del trabajo, se busca identificar cómo esta norma influye en las prácticas contables locales y en la transparencia del sector asegurador.   </w:t>
            </w:r>
          </w:p>
        </w:tc>
        <w:tc>
          <w:tcPr>
            <w:tcW w:w="41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1829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 xml:space="preserve">El sector asegurador panameño enfrenta actualmente el desafío de adaptarse a la NIIF 17, una norma que redefine la forma de contabilizar y presentar los contratos de seguros. Su implementación ha generado la necesidad de fortalecer la capacitación y la comprensión técnica, especialmente en regiones en crecimiento como el área Este de la ciudad de Panamá. </w:t>
            </w:r>
          </w:p>
          <w:p w14:paraId="0A37501D" w14:textId="0D152706" w:rsidR="00B45DBF" w:rsidRDefault="0E0F2CB7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87D8DA" wp14:editId="095A15E6">
                  <wp:extent cx="2405736" cy="1124062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736" cy="11240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864903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 xml:space="preserve">Comprender la norma permite fortalecer la confianza en las empresas, garantizar mayor claridad en los informes contables y promover el profesionalismo del sector. </w:t>
            </w:r>
          </w:p>
          <w:p w14:paraId="5DAB6C7B" w14:textId="77777777" w:rsidR="00B45DBF" w:rsidRPr="006032A8" w:rsidRDefault="00B4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</w:p>
          <w:p w14:paraId="0C1517B8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4"/>
                <w:szCs w:val="24"/>
                <w:lang w:val="es-PA"/>
              </w:rPr>
            </w:pPr>
            <w:r w:rsidRPr="006032A8">
              <w:rPr>
                <w:b/>
                <w:bCs/>
                <w:sz w:val="24"/>
                <w:szCs w:val="24"/>
                <w:lang w:val="es-PA"/>
              </w:rPr>
              <w:t>¿La implementación de la NIIF 17 en Panamá influye más allá de los aspectos contables tradicionales?</w:t>
            </w:r>
          </w:p>
          <w:p w14:paraId="614C7147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Sí, ya que su aplicación no solo modifica la forma de registrar operaciones, sino que también impulsa la transparencia, la ética profesional y la confianza en el sector asegurador.</w:t>
            </w:r>
          </w:p>
          <w:p w14:paraId="02EB378F" w14:textId="77777777" w:rsidR="00B45DBF" w:rsidRPr="006032A8" w:rsidRDefault="00B4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</w:p>
          <w:p w14:paraId="34CC593D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En el contexto de Panamá Este, el análisis de la NIIF permite comprender cómo esta influye en la formación contable y en la manera en que los futuros profesionales interpretan la información financiera. Más que aplicarse únicamente a las aseguradoras, su estudio en la región busca promover una cultura de transparencia, ética y actualización constante dentro del ámbito contable.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01CB" w14:textId="77777777" w:rsidR="00B45DBF" w:rsidRPr="006032A8" w:rsidRDefault="0000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es-PA"/>
              </w:rPr>
            </w:pPr>
            <w:r w:rsidRPr="006032A8">
              <w:rPr>
                <w:b/>
                <w:sz w:val="24"/>
                <w:szCs w:val="24"/>
                <w:lang w:val="es-PA"/>
              </w:rPr>
              <w:t>CONCLUSIÓN</w:t>
            </w:r>
          </w:p>
          <w:p w14:paraId="6A05A809" w14:textId="77777777" w:rsidR="00B45DBF" w:rsidRPr="006032A8" w:rsidRDefault="00B45DBF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  <w:lang w:val="es-PA"/>
              </w:rPr>
            </w:pPr>
          </w:p>
          <w:p w14:paraId="643272DF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La revisión de los documentos permitió comprender que el estudio y aplicación de la NIIF 17 deben ir “más allá de la contabilidad”, promoviendo una formación actualizada y adaptada a las realidades locales.</w:t>
            </w:r>
          </w:p>
          <w:p w14:paraId="367A45DF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Como futuras contadoras, entendemos la necesidad de aprender y aplicar la NIIF 17 para responder a los retos del entorno financiero actual.</w:t>
            </w:r>
          </w:p>
        </w:tc>
      </w:tr>
      <w:tr w:rsidR="00B45DBF" w:rsidRPr="006032A8" w14:paraId="7C38E916" w14:textId="77777777" w:rsidTr="1B4C9E48">
        <w:trPr>
          <w:trHeight w:val="5018"/>
          <w:jc w:val="center"/>
        </w:trPr>
        <w:tc>
          <w:tcPr>
            <w:tcW w:w="3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B3D8" w14:textId="77777777" w:rsidR="00B45DBF" w:rsidRPr="006032A8" w:rsidRDefault="00000510">
            <w:pPr>
              <w:rPr>
                <w:b/>
                <w:sz w:val="24"/>
                <w:szCs w:val="24"/>
                <w:lang w:val="es-PA"/>
              </w:rPr>
            </w:pPr>
            <w:r w:rsidRPr="006032A8">
              <w:rPr>
                <w:b/>
                <w:sz w:val="24"/>
                <w:szCs w:val="24"/>
                <w:lang w:val="es-PA"/>
              </w:rPr>
              <w:t>Objetivo general:</w:t>
            </w:r>
          </w:p>
          <w:p w14:paraId="73961409" w14:textId="77777777" w:rsidR="00B45DBF" w:rsidRPr="006032A8" w:rsidRDefault="00000510" w:rsidP="1B4C9E48">
            <w:p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Analizar el impacto y la aplicación de la NIIF 17 en las aseguradoras de Panamá.</w:t>
            </w:r>
          </w:p>
          <w:p w14:paraId="24BFCDC5" w14:textId="77777777" w:rsidR="00B45DBF" w:rsidRDefault="00000510" w:rsidP="1B4C9E48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1B4C9E48">
              <w:rPr>
                <w:b/>
                <w:bCs/>
                <w:sz w:val="24"/>
                <w:szCs w:val="24"/>
                <w:lang w:val="en-US"/>
              </w:rPr>
              <w:t>Objetivos</w:t>
            </w:r>
            <w:proofErr w:type="spellEnd"/>
            <w:r w:rsidRPr="1B4C9E4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B4C9E48">
              <w:rPr>
                <w:b/>
                <w:bCs/>
                <w:sz w:val="24"/>
                <w:szCs w:val="24"/>
                <w:lang w:val="en-US"/>
              </w:rPr>
              <w:t>específicos</w:t>
            </w:r>
            <w:proofErr w:type="spellEnd"/>
            <w:r w:rsidRPr="1B4C9E4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1A3DDA4A" w14:textId="77777777" w:rsidR="00B45DBF" w:rsidRPr="006032A8" w:rsidRDefault="00000510" w:rsidP="1B4C9E4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Explicar los principales cambios que introduce la NIIF 17 en los estados financieros.</w:t>
            </w:r>
          </w:p>
          <w:p w14:paraId="11415FA0" w14:textId="77777777" w:rsidR="00B45DBF" w:rsidRPr="006032A8" w:rsidRDefault="00000510" w:rsidP="1B4C9E4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Reconocer los retos y oportunidades que genera su implementación.</w:t>
            </w:r>
          </w:p>
          <w:p w14:paraId="476D8730" w14:textId="77777777" w:rsidR="00B45DBF" w:rsidRPr="006032A8" w:rsidRDefault="00000510" w:rsidP="1B4C9E4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Examinar el nivel de conocimiento sobre la norma en Panamá.</w:t>
            </w:r>
          </w:p>
        </w:tc>
        <w:tc>
          <w:tcPr>
            <w:tcW w:w="41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B45DBF" w:rsidRPr="006032A8" w:rsidRDefault="00B4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s-PA"/>
              </w:rPr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0D1728E0" w:rsidR="00B45DBF" w:rsidRPr="006032A8" w:rsidRDefault="00000510" w:rsidP="1B4C9E48">
            <w:pPr>
              <w:jc w:val="center"/>
              <w:rPr>
                <w:b/>
                <w:bCs/>
                <w:sz w:val="24"/>
                <w:szCs w:val="24"/>
                <w:lang w:val="es-PA"/>
              </w:rPr>
            </w:pPr>
            <w:r w:rsidRPr="006032A8">
              <w:rPr>
                <w:b/>
                <w:bCs/>
                <w:sz w:val="24"/>
                <w:szCs w:val="24"/>
                <w:lang w:val="es-PA"/>
              </w:rPr>
              <w:t>METODOLOGÍA</w:t>
            </w:r>
          </w:p>
          <w:p w14:paraId="63B99CFD" w14:textId="52C9684D" w:rsidR="1B4C9E48" w:rsidRPr="006032A8" w:rsidRDefault="1B4C9E48" w:rsidP="1B4C9E48">
            <w:pPr>
              <w:jc w:val="center"/>
              <w:rPr>
                <w:b/>
                <w:bCs/>
                <w:sz w:val="12"/>
                <w:szCs w:val="12"/>
                <w:lang w:val="es-PA"/>
              </w:rPr>
            </w:pPr>
          </w:p>
          <w:p w14:paraId="511E5E81" w14:textId="77777777" w:rsidR="00B45DBF" w:rsidRPr="006032A8" w:rsidRDefault="00000510" w:rsidP="1B4C9E48">
            <w:p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 xml:space="preserve">El cartel se desarrolló con un enfoque cualitativo-documental, basado en el análisis de fuentes secundarias como documentos de la Superintendencia de Seguros y Reaseguros, la Gaceta Oficial No. 29967-B, APADEA, KPMG y publicaciones académicas. </w:t>
            </w:r>
          </w:p>
          <w:p w14:paraId="10D955BC" w14:textId="77777777" w:rsidR="00B45DBF" w:rsidRPr="006032A8" w:rsidRDefault="00000510" w:rsidP="1B4C9E48">
            <w:p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Los criterios de inclusión incluyeron estudios sobre la NIIF 17 en Panamá, seleccionando aquellos que aportan información relevante para la práctica contable, la educación y la aplicabilidad en Panamá Este.</w:t>
            </w:r>
          </w:p>
        </w:tc>
      </w:tr>
      <w:tr w:rsidR="00B45DBF" w14:paraId="2CD49A3E" w14:textId="77777777" w:rsidTr="1B4C9E48">
        <w:trPr>
          <w:trHeight w:val="4068"/>
          <w:jc w:val="center"/>
        </w:trPr>
        <w:tc>
          <w:tcPr>
            <w:tcW w:w="3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6E9" w14:textId="77777777" w:rsidR="00B45DBF" w:rsidRPr="006032A8" w:rsidRDefault="00000510">
            <w:pPr>
              <w:jc w:val="center"/>
              <w:rPr>
                <w:b/>
                <w:sz w:val="24"/>
                <w:szCs w:val="24"/>
                <w:lang w:val="es-PA"/>
              </w:rPr>
            </w:pPr>
            <w:r w:rsidRPr="006032A8">
              <w:rPr>
                <w:b/>
                <w:sz w:val="24"/>
                <w:szCs w:val="24"/>
                <w:lang w:val="es-PA"/>
              </w:rPr>
              <w:t>DISCUSIÓN</w:t>
            </w:r>
          </w:p>
          <w:p w14:paraId="72A3D3EC" w14:textId="77777777" w:rsidR="00B45DBF" w:rsidRPr="006032A8" w:rsidRDefault="00B45DBF" w:rsidP="1B4C9E48">
            <w:pPr>
              <w:jc w:val="both"/>
              <w:rPr>
                <w:sz w:val="12"/>
                <w:szCs w:val="12"/>
                <w:lang w:val="es-PA"/>
              </w:rPr>
            </w:pPr>
          </w:p>
          <w:p w14:paraId="400F8C7A" w14:textId="77777777" w:rsidR="00B45DBF" w:rsidRPr="006032A8" w:rsidRDefault="00000510" w:rsidP="1B4C9E48">
            <w:pPr>
              <w:jc w:val="both"/>
              <w:rPr>
                <w:sz w:val="24"/>
                <w:szCs w:val="24"/>
                <w:lang w:val="es-PA"/>
              </w:rPr>
            </w:pPr>
            <w:r w:rsidRPr="006032A8">
              <w:rPr>
                <w:sz w:val="24"/>
                <w:szCs w:val="24"/>
                <w:lang w:val="es-PA"/>
              </w:rPr>
              <w:t>La implementación de la NIIF representa un desafío educativo y profesional, pero también una oportunidad para modernizar la práctica contable y elevar la credibilidad de las instituciones. Su impacto va más allá de la contabilidad, conectando la técnica con la responsabilidad social y la sostenibilidad económica.</w:t>
            </w:r>
          </w:p>
        </w:tc>
        <w:tc>
          <w:tcPr>
            <w:tcW w:w="41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B45DBF" w:rsidRPr="006032A8" w:rsidRDefault="00B4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s-PA"/>
              </w:rPr>
            </w:pP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27E5" w14:textId="77777777" w:rsidR="00B45DBF" w:rsidRPr="006032A8" w:rsidRDefault="00000510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  <w:lang w:val="es-PA"/>
              </w:rPr>
            </w:pPr>
            <w:r w:rsidRPr="006032A8">
              <w:rPr>
                <w:b/>
                <w:bCs/>
                <w:sz w:val="24"/>
                <w:szCs w:val="24"/>
                <w:lang w:val="es-PA"/>
              </w:rPr>
              <w:t>BIBLIOGRAFÍA</w:t>
            </w:r>
          </w:p>
          <w:p w14:paraId="1C940575" w14:textId="51C07AA8" w:rsidR="1B4C9E48" w:rsidRPr="006032A8" w:rsidRDefault="1B4C9E48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2"/>
                <w:szCs w:val="12"/>
                <w:lang w:val="es-PA"/>
              </w:rPr>
            </w:pPr>
          </w:p>
          <w:p w14:paraId="689E3FF7" w14:textId="3EC2B4DE" w:rsidR="00B45DBF" w:rsidRPr="006032A8" w:rsidRDefault="00007CB9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s-PA"/>
              </w:rPr>
            </w:pPr>
            <w:hyperlink r:id="rId10">
              <w:r w:rsidR="00000510" w:rsidRPr="006032A8">
                <w:rPr>
                  <w:color w:val="1155CC"/>
                  <w:sz w:val="24"/>
                  <w:szCs w:val="24"/>
                  <w:u w:val="single"/>
                  <w:lang w:val="es-PA"/>
                </w:rPr>
                <w:t>https://superseguros.gob.pa/bitnami/wordpress/wp-content/uploads/Borrador-de-Acuerdo-de-NIIF-17.pdf</w:t>
              </w:r>
            </w:hyperlink>
          </w:p>
          <w:p w14:paraId="7060D9B0" w14:textId="77777777" w:rsidR="00B45DBF" w:rsidRPr="006032A8" w:rsidRDefault="00007CB9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s-PA"/>
              </w:rPr>
            </w:pPr>
            <w:hyperlink r:id="rId11">
              <w:r w:rsidR="00000510" w:rsidRPr="006032A8">
                <w:rPr>
                  <w:color w:val="1155CC"/>
                  <w:sz w:val="24"/>
                  <w:szCs w:val="24"/>
                  <w:u w:val="single"/>
                  <w:lang w:val="es-PA"/>
                </w:rPr>
                <w:t>https://superseguros.gob.pa/tema_marco_legal/normas-contables-niif-17</w:t>
              </w:r>
            </w:hyperlink>
          </w:p>
          <w:p w14:paraId="3B4D287D" w14:textId="77777777" w:rsidR="00B45DBF" w:rsidRPr="006032A8" w:rsidRDefault="00007CB9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s-PA"/>
              </w:rPr>
            </w:pPr>
            <w:hyperlink r:id="rId12">
              <w:r w:rsidR="00000510" w:rsidRPr="006032A8">
                <w:rPr>
                  <w:color w:val="1155CC"/>
                  <w:sz w:val="24"/>
                  <w:szCs w:val="24"/>
                  <w:u w:val="single"/>
                  <w:lang w:val="es-PA"/>
                </w:rPr>
                <w:t>https://www.gacetaoficial.gob.pa/pdfTemp/29967_B/GacetaNo_29967b_20240208.pdf</w:t>
              </w:r>
            </w:hyperlink>
          </w:p>
          <w:p w14:paraId="65895F18" w14:textId="77777777" w:rsidR="00B45DBF" w:rsidRDefault="00007CB9" w:rsidP="1B4C9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13">
              <w:r w:rsidR="00000510" w:rsidRPr="1B4C9E48">
                <w:rPr>
                  <w:color w:val="1155CC"/>
                  <w:sz w:val="24"/>
                  <w:szCs w:val="24"/>
                  <w:u w:val="single"/>
                </w:rPr>
                <w:t>https://www.apadea.org</w:t>
              </w:r>
            </w:hyperlink>
            <w:r w:rsidR="00000510" w:rsidRPr="1B4C9E48">
              <w:rPr>
                <w:sz w:val="24"/>
                <w:szCs w:val="24"/>
              </w:rPr>
              <w:t xml:space="preserve"> </w:t>
            </w:r>
          </w:p>
        </w:tc>
      </w:tr>
    </w:tbl>
    <w:p w14:paraId="60061E4C" w14:textId="77777777" w:rsidR="00B45DBF" w:rsidRDefault="00B45DBF"/>
    <w:sectPr w:rsidR="00B45DBF">
      <w:headerReference w:type="default" r:id="rId14"/>
      <w:footerReference w:type="default" r:id="rId15"/>
      <w:pgSz w:w="12240" w:h="2016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000510" w:rsidRDefault="00000510">
      <w:r>
        <w:separator/>
      </w:r>
    </w:p>
  </w:endnote>
  <w:endnote w:type="continuationSeparator" w:id="0">
    <w:p w14:paraId="3656B9AB" w14:textId="77777777" w:rsidR="00000510" w:rsidRDefault="0000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B45DBF" w:rsidRDefault="00B45DB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4B94D5A5" w14:textId="77777777" w:rsidR="00B45DBF" w:rsidRDefault="00B45DB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000510" w:rsidRDefault="00000510">
      <w:r>
        <w:separator/>
      </w:r>
    </w:p>
  </w:footnote>
  <w:footnote w:type="continuationSeparator" w:id="0">
    <w:p w14:paraId="049F31CB" w14:textId="77777777" w:rsidR="00000510" w:rsidRDefault="0000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410A" w14:textId="77777777" w:rsidR="00B45DBF" w:rsidRDefault="00000510">
    <w:pPr>
      <w:widowControl/>
      <w:spacing w:after="160" w:line="259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E843DF" wp14:editId="07777777">
          <wp:simplePos x="0" y="0"/>
          <wp:positionH relativeFrom="column">
            <wp:posOffset>69851</wp:posOffset>
          </wp:positionH>
          <wp:positionV relativeFrom="paragraph">
            <wp:posOffset>-457199</wp:posOffset>
          </wp:positionV>
          <wp:extent cx="5972175" cy="10064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1204"/>
                  <a:stretch>
                    <a:fillRect/>
                  </a:stretch>
                </pic:blipFill>
                <pic:spPr>
                  <a:xfrm>
                    <a:off x="0" y="0"/>
                    <a:ext cx="5972175" cy="100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405" w:type="dxa"/>
      <w:tblInd w:w="0" w:type="dxa"/>
      <w:tblLayout w:type="fixed"/>
      <w:tblLook w:val="0600" w:firstRow="0" w:lastRow="0" w:firstColumn="0" w:lastColumn="0" w:noHBand="1" w:noVBand="1"/>
    </w:tblPr>
    <w:tblGrid>
      <w:gridCol w:w="3135"/>
      <w:gridCol w:w="3135"/>
      <w:gridCol w:w="3135"/>
    </w:tblGrid>
    <w:tr w:rsidR="00B45DBF" w14:paraId="53128261" w14:textId="77777777">
      <w:trPr>
        <w:trHeight w:val="300"/>
      </w:trPr>
      <w:tc>
        <w:tcPr>
          <w:tcW w:w="3135" w:type="dxa"/>
        </w:tcPr>
        <w:p w14:paraId="62486C05" w14:textId="77777777" w:rsidR="00B45DBF" w:rsidRDefault="00B45D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135" w:type="dxa"/>
        </w:tcPr>
        <w:p w14:paraId="4101652C" w14:textId="77777777" w:rsidR="00B45DBF" w:rsidRDefault="00B45D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135" w:type="dxa"/>
        </w:tcPr>
        <w:p w14:paraId="4B99056E" w14:textId="77777777" w:rsidR="00B45DBF" w:rsidRDefault="00B45D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1299C43A" w14:textId="77777777" w:rsidR="00B45DBF" w:rsidRDefault="00B45D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5D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F419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7921917">
    <w:abstractNumId w:val="0"/>
  </w:num>
  <w:num w:numId="2" w16cid:durableId="39131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BF"/>
    <w:rsid w:val="00000510"/>
    <w:rsid w:val="00007CB9"/>
    <w:rsid w:val="003C5025"/>
    <w:rsid w:val="006032A8"/>
    <w:rsid w:val="006D359C"/>
    <w:rsid w:val="008726A5"/>
    <w:rsid w:val="00B45DBF"/>
    <w:rsid w:val="0E0F2CB7"/>
    <w:rsid w:val="1B4C9E48"/>
    <w:rsid w:val="33658AFA"/>
    <w:rsid w:val="338EBCB5"/>
    <w:rsid w:val="3A4249DD"/>
    <w:rsid w:val="612CE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ADC59"/>
  <w15:docId w15:val="{17565BEC-0FFB-4C96-8B8B-DEEAC04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erasayleen@gmail.com" TargetMode="External"/><Relationship Id="rId13" Type="http://schemas.openxmlformats.org/officeDocument/2006/relationships/hyperlink" Target="https://www.apade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acetaoficial.gob.pa/pdfTemp/29967_B/GacetaNo_29967b_2024020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erseguros.gob.pa/tema_marco_legal/normas-contables-niif-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uperseguros.gob.pa/bitnami/wordpress/wp-content/uploads/Borrador-de-Acuerdo-de-NIIF-1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DIREC.COMPRAS</cp:lastModifiedBy>
  <cp:revision>4</cp:revision>
  <dcterms:created xsi:type="dcterms:W3CDTF">2025-10-19T02:26:00Z</dcterms:created>
  <dcterms:modified xsi:type="dcterms:W3CDTF">2025-11-20T19:22:00Z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2025-04-20T00:00:00Z</vt:lpwstr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lpwstr>2025-04-20T00:00:00Z</vt:lpwstr>
  </property>
</Properties>
</file>