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BFF3" w14:textId="2B59B743" w:rsidR="000006C7" w:rsidRDefault="00566D54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20192" behindDoc="1" locked="0" layoutInCell="1" allowOverlap="1" wp14:anchorId="59021387" wp14:editId="0BBD5D56">
            <wp:simplePos x="0" y="0"/>
            <wp:positionH relativeFrom="margin">
              <wp:posOffset>3657600</wp:posOffset>
            </wp:positionH>
            <wp:positionV relativeFrom="margin">
              <wp:align>top</wp:align>
            </wp:positionV>
            <wp:extent cx="981075" cy="675005"/>
            <wp:effectExtent l="0" t="0" r="9525" b="0"/>
            <wp:wrapSquare wrapText="bothSides"/>
            <wp:docPr id="5746878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709952" behindDoc="0" locked="0" layoutInCell="1" allowOverlap="1" wp14:anchorId="791C42B7" wp14:editId="2990072A">
            <wp:simplePos x="0" y="0"/>
            <wp:positionH relativeFrom="margin">
              <wp:posOffset>1885950</wp:posOffset>
            </wp:positionH>
            <wp:positionV relativeFrom="margin">
              <wp:posOffset>-19050</wp:posOffset>
            </wp:positionV>
            <wp:extent cx="1695450" cy="596265"/>
            <wp:effectExtent l="0" t="0" r="0" b="0"/>
            <wp:wrapSquare wrapText="bothSides"/>
            <wp:docPr id="13513981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19840" behindDoc="0" locked="0" layoutInCell="1" allowOverlap="1" wp14:anchorId="09338460" wp14:editId="02C37AF8">
            <wp:simplePos x="0" y="0"/>
            <wp:positionH relativeFrom="margin">
              <wp:posOffset>876300</wp:posOffset>
            </wp:positionH>
            <wp:positionV relativeFrom="margin">
              <wp:posOffset>-212090</wp:posOffset>
            </wp:positionV>
            <wp:extent cx="1262380" cy="942975"/>
            <wp:effectExtent l="0" t="0" r="0" b="9525"/>
            <wp:wrapSquare wrapText="bothSides"/>
            <wp:docPr id="51225788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21">
        <w:rPr>
          <w:noProof/>
        </w:rPr>
        <w:drawing>
          <wp:anchor distT="0" distB="0" distL="114300" distR="114300" simplePos="0" relativeHeight="251688448" behindDoc="0" locked="0" layoutInCell="1" allowOverlap="1" wp14:anchorId="7B4176A9" wp14:editId="4912CDA0">
            <wp:simplePos x="0" y="0"/>
            <wp:positionH relativeFrom="margin">
              <wp:align>right</wp:align>
            </wp:positionH>
            <wp:positionV relativeFrom="paragraph">
              <wp:posOffset>-213360</wp:posOffset>
            </wp:positionV>
            <wp:extent cx="1047750" cy="1040765"/>
            <wp:effectExtent l="0" t="0" r="0" b="6985"/>
            <wp:wrapNone/>
            <wp:docPr id="2106468923" name="Imagen 2106468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6DCA44C" wp14:editId="3F1DECA3">
            <wp:simplePos x="0" y="0"/>
            <wp:positionH relativeFrom="margin">
              <wp:align>left</wp:align>
            </wp:positionH>
            <wp:positionV relativeFrom="page">
              <wp:posOffset>142875</wp:posOffset>
            </wp:positionV>
            <wp:extent cx="1063625" cy="1238250"/>
            <wp:effectExtent l="0" t="0" r="0" b="0"/>
            <wp:wrapTight wrapText="bothSides">
              <wp:wrapPolygon edited="0">
                <wp:start x="8124" y="0"/>
                <wp:lineTo x="6190" y="997"/>
                <wp:lineTo x="774" y="4985"/>
                <wp:lineTo x="0" y="8640"/>
                <wp:lineTo x="0" y="12628"/>
                <wp:lineTo x="1161" y="17280"/>
                <wp:lineTo x="7350" y="21268"/>
                <wp:lineTo x="13153" y="21268"/>
                <wp:lineTo x="16248" y="16615"/>
                <wp:lineTo x="17796" y="16615"/>
                <wp:lineTo x="20891" y="12960"/>
                <wp:lineTo x="20891" y="8640"/>
                <wp:lineTo x="19343" y="5317"/>
                <wp:lineTo x="13927" y="997"/>
                <wp:lineTo x="11993" y="0"/>
                <wp:lineTo x="8124" y="0"/>
              </wp:wrapPolygon>
            </wp:wrapTight>
            <wp:docPr id="1171212835" name="Imagen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89" r="83440" b="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8B277" w14:textId="591AD5B3" w:rsidR="000006C7" w:rsidRDefault="00566D54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21216" behindDoc="0" locked="0" layoutInCell="1" allowOverlap="1" wp14:anchorId="0CFC74EB" wp14:editId="19616956">
            <wp:simplePos x="0" y="0"/>
            <wp:positionH relativeFrom="margin">
              <wp:posOffset>4686300</wp:posOffset>
            </wp:positionH>
            <wp:positionV relativeFrom="margin">
              <wp:posOffset>152400</wp:posOffset>
            </wp:positionV>
            <wp:extent cx="1099185" cy="424815"/>
            <wp:effectExtent l="0" t="0" r="5715" b="0"/>
            <wp:wrapSquare wrapText="bothSides"/>
            <wp:docPr id="459247283" name="Imagen 5" descr="Maestría en Ciencias de la Educación – U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estría en Ciencias de la Educación – U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362F6" w14:textId="09DF5DB6" w:rsidR="000006C7" w:rsidRDefault="000006C7">
      <w:pPr>
        <w:pStyle w:val="Textoindependiente"/>
        <w:spacing w:before="157"/>
        <w:rPr>
          <w:rFonts w:ascii="Times New Roman"/>
          <w:sz w:val="20"/>
        </w:rPr>
      </w:pPr>
    </w:p>
    <w:p w14:paraId="055C01D1" w14:textId="77777777" w:rsidR="00B254FE" w:rsidRDefault="00B254FE"/>
    <w:p w14:paraId="0FFD6251" w14:textId="77777777" w:rsidR="00F70B82" w:rsidRDefault="00F70B82"/>
    <w:p w14:paraId="60817CDF" w14:textId="77777777" w:rsidR="00F70B82" w:rsidRDefault="00F70B82"/>
    <w:p w14:paraId="3F807C5F" w14:textId="77777777" w:rsidR="00F70B82" w:rsidRDefault="00F70B82"/>
    <w:tbl>
      <w:tblPr>
        <w:tblStyle w:val="Tablaconcuadrcula"/>
        <w:tblW w:w="0" w:type="auto"/>
        <w:tblBorders>
          <w:top w:val="single" w:sz="18" w:space="0" w:color="4BACC6"/>
          <w:left w:val="single" w:sz="18" w:space="0" w:color="4BACC6"/>
          <w:bottom w:val="single" w:sz="18" w:space="0" w:color="4BACC6"/>
          <w:right w:val="single" w:sz="18" w:space="0" w:color="4BACC6"/>
          <w:insideH w:val="single" w:sz="18" w:space="0" w:color="4BACC6"/>
          <w:insideV w:val="single" w:sz="18" w:space="0" w:color="4BACC6"/>
        </w:tblBorders>
        <w:tblLook w:val="04A0" w:firstRow="1" w:lastRow="0" w:firstColumn="1" w:lastColumn="0" w:noHBand="0" w:noVBand="1"/>
      </w:tblPr>
      <w:tblGrid>
        <w:gridCol w:w="3288"/>
        <w:gridCol w:w="4248"/>
        <w:gridCol w:w="3218"/>
      </w:tblGrid>
      <w:tr w:rsidR="00F70B82" w14:paraId="115CE503" w14:textId="77777777" w:rsidTr="00675357">
        <w:tc>
          <w:tcPr>
            <w:tcW w:w="10754" w:type="dxa"/>
            <w:gridSpan w:val="3"/>
          </w:tcPr>
          <w:p w14:paraId="7FAD4956" w14:textId="77777777" w:rsidR="00F70B82" w:rsidRDefault="00F70B82" w:rsidP="00F70B82">
            <w:pPr>
              <w:pStyle w:val="TableParagraph"/>
              <w:spacing w:before="34" w:line="413" w:lineRule="exact"/>
              <w:ind w:left="505" w:right="459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pacing w:val="-2"/>
                <w:sz w:val="36"/>
              </w:rPr>
              <w:t>TITULO</w:t>
            </w:r>
          </w:p>
          <w:p w14:paraId="35E3667F" w14:textId="0870E378" w:rsidR="00F70B82" w:rsidRPr="00C152AA" w:rsidRDefault="009E07A5" w:rsidP="00F70B82">
            <w:pPr>
              <w:pStyle w:val="TableParagraph"/>
              <w:spacing w:line="280" w:lineRule="auto"/>
              <w:ind w:left="505" w:right="359"/>
              <w:jc w:val="center"/>
              <w:rPr>
                <w:color w:val="151616"/>
                <w:sz w:val="24"/>
              </w:rPr>
            </w:pPr>
            <w:r w:rsidRPr="009E07A5">
              <w:rPr>
                <w:color w:val="151616"/>
                <w:sz w:val="24"/>
              </w:rPr>
              <w:t>Hacia una cultura ética digital: directrices participativas para el uso responsable de la inteligencia artificial en la universidad</w:t>
            </w:r>
          </w:p>
          <w:p w14:paraId="6FDFF285" w14:textId="77777777" w:rsidR="00F70B82" w:rsidRDefault="00F70B82" w:rsidP="00F70B82">
            <w:pPr>
              <w:pStyle w:val="TableParagraph"/>
              <w:spacing w:before="12"/>
              <w:rPr>
                <w:rFonts w:ascii="Times New Roman"/>
                <w:sz w:val="24"/>
              </w:rPr>
            </w:pPr>
          </w:p>
          <w:p w14:paraId="7D67D717" w14:textId="2E1AAEC6" w:rsidR="00F70B82" w:rsidRDefault="00F70B82" w:rsidP="00F70B82">
            <w:pPr>
              <w:pStyle w:val="TableParagraph"/>
              <w:ind w:left="505" w:right="452"/>
              <w:jc w:val="center"/>
              <w:rPr>
                <w:rFonts w:ascii="Arial"/>
                <w:b/>
                <w:color w:val="151616"/>
                <w:sz w:val="28"/>
              </w:rPr>
            </w:pPr>
            <w:r>
              <w:rPr>
                <w:rFonts w:ascii="Arial"/>
                <w:b/>
                <w:color w:val="151616"/>
                <w:sz w:val="28"/>
              </w:rPr>
              <w:t>Autor</w:t>
            </w:r>
          </w:p>
          <w:p w14:paraId="13B39A73" w14:textId="08764EED" w:rsidR="00F70B82" w:rsidRDefault="009E07A5" w:rsidP="00F70B82">
            <w:pPr>
              <w:pStyle w:val="TableParagraph"/>
              <w:ind w:left="505" w:right="45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Migdalia Esther Alvarado Conte</w:t>
            </w:r>
          </w:p>
          <w:p w14:paraId="6C38E273" w14:textId="77777777" w:rsidR="00F70B82" w:rsidRDefault="00F70B82" w:rsidP="00F70B82">
            <w:pPr>
              <w:pStyle w:val="TableParagraph"/>
              <w:spacing w:before="73"/>
              <w:ind w:left="459"/>
              <w:rPr>
                <w:sz w:val="24"/>
              </w:rPr>
            </w:pPr>
            <w:r>
              <w:rPr>
                <w:color w:val="151616"/>
                <w:sz w:val="24"/>
              </w:rPr>
              <w:t>Filiación</w:t>
            </w:r>
            <w:r>
              <w:rPr>
                <w:color w:val="151616"/>
                <w:spacing w:val="-6"/>
                <w:sz w:val="24"/>
              </w:rPr>
              <w:t xml:space="preserve"> </w:t>
            </w:r>
            <w:r>
              <w:rPr>
                <w:color w:val="151616"/>
                <w:sz w:val="24"/>
              </w:rPr>
              <w:t>de</w:t>
            </w:r>
            <w:r>
              <w:rPr>
                <w:color w:val="151616"/>
                <w:spacing w:val="-6"/>
                <w:sz w:val="24"/>
              </w:rPr>
              <w:t xml:space="preserve"> </w:t>
            </w:r>
            <w:r>
              <w:rPr>
                <w:color w:val="151616"/>
                <w:sz w:val="24"/>
              </w:rPr>
              <w:t>cada</w:t>
            </w:r>
            <w:r>
              <w:rPr>
                <w:color w:val="151616"/>
                <w:spacing w:val="-5"/>
                <w:sz w:val="24"/>
              </w:rPr>
              <w:t xml:space="preserve"> </w:t>
            </w:r>
            <w:r>
              <w:rPr>
                <w:color w:val="151616"/>
                <w:spacing w:val="-2"/>
                <w:sz w:val="24"/>
              </w:rPr>
              <w:t>autor</w:t>
            </w:r>
          </w:p>
          <w:p w14:paraId="6B7562D1" w14:textId="6B92BFAF" w:rsidR="00F70B82" w:rsidRDefault="00F70B82" w:rsidP="00F70B82">
            <w:pPr>
              <w:pStyle w:val="Prrafodelista"/>
              <w:numPr>
                <w:ilvl w:val="0"/>
                <w:numId w:val="2"/>
              </w:numPr>
            </w:pPr>
            <w:r w:rsidRPr="00F70B82">
              <w:rPr>
                <w:lang w:val="es-VE"/>
              </w:rPr>
              <w:t xml:space="preserve">Centro Regional Universitario de Panamá Este, Ciudad Panamá, país Panamá, </w:t>
            </w:r>
            <w:r w:rsidRPr="00E356DD">
              <w:rPr>
                <w:u w:val="single"/>
                <w:lang w:val="es-VE"/>
              </w:rPr>
              <w:t>https://orcid.org/</w:t>
            </w:r>
            <w:r w:rsidR="00E356DD" w:rsidRPr="00E356DD">
              <w:rPr>
                <w:u w:val="single"/>
                <w:lang w:val="es-VE"/>
              </w:rPr>
              <w:t>0009-0008-6904-3152</w:t>
            </w:r>
            <w:r w:rsidRPr="00F70B82">
              <w:rPr>
                <w:u w:val="single"/>
                <w:lang w:val="es-VE"/>
              </w:rPr>
              <w:t>,</w:t>
            </w:r>
            <w:r w:rsidR="00AF3AA9">
              <w:rPr>
                <w:u w:val="single"/>
                <w:lang w:val="es-VE"/>
              </w:rPr>
              <w:t xml:space="preserve"> </w:t>
            </w:r>
            <w:hyperlink r:id="rId12" w:history="1">
              <w:r w:rsidR="00AF3AA9" w:rsidRPr="006D6A3F">
                <w:rPr>
                  <w:rStyle w:val="Hipervnculo"/>
                  <w:lang w:val="es-VE"/>
                </w:rPr>
                <w:t>estherconte07@gmail.com</w:t>
              </w:r>
            </w:hyperlink>
            <w:r w:rsidR="00AF3AA9">
              <w:rPr>
                <w:u w:val="single"/>
                <w:lang w:val="es-VE"/>
              </w:rPr>
              <w:t xml:space="preserve"> </w:t>
            </w:r>
          </w:p>
        </w:tc>
      </w:tr>
      <w:tr w:rsidR="00C152AA" w14:paraId="0269B9B8" w14:textId="77777777" w:rsidTr="00C152AA">
        <w:tc>
          <w:tcPr>
            <w:tcW w:w="3288" w:type="dxa"/>
          </w:tcPr>
          <w:p w14:paraId="343DC567" w14:textId="4A3BFD2E" w:rsidR="00C152AA" w:rsidRPr="009E07A5" w:rsidRDefault="00C152AA" w:rsidP="000159B5">
            <w:pPr>
              <w:jc w:val="both"/>
              <w:rPr>
                <w:color w:val="151616"/>
                <w:sz w:val="20"/>
                <w:szCs w:val="20"/>
              </w:rPr>
            </w:pPr>
            <w:r w:rsidRPr="009E07A5">
              <w:rPr>
                <w:rFonts w:ascii="Arial"/>
                <w:b/>
                <w:spacing w:val="-2"/>
                <w:sz w:val="28"/>
              </w:rPr>
              <w:t>INTRODUCCI</w:t>
            </w:r>
            <w:r w:rsidRPr="009E07A5">
              <w:rPr>
                <w:rFonts w:ascii="Arial"/>
                <w:b/>
                <w:spacing w:val="-2"/>
                <w:sz w:val="28"/>
              </w:rPr>
              <w:t>Ó</w:t>
            </w:r>
            <w:r w:rsidRPr="009E07A5">
              <w:rPr>
                <w:rFonts w:ascii="Arial"/>
                <w:b/>
                <w:spacing w:val="-2"/>
                <w:sz w:val="28"/>
              </w:rPr>
              <w:t>N</w:t>
            </w:r>
            <w:r w:rsidRPr="009E07A5">
              <w:rPr>
                <w:color w:val="151616"/>
                <w:sz w:val="20"/>
                <w:szCs w:val="20"/>
              </w:rPr>
              <w:br/>
            </w:r>
            <w:r w:rsidR="009E07A5" w:rsidRPr="009E07A5">
              <w:rPr>
                <w:color w:val="151616"/>
                <w:sz w:val="20"/>
                <w:szCs w:val="20"/>
              </w:rPr>
              <w:t>La transformación digital en la educación superior ha acelerado la incorporación de la inteligencia artificial (IA) como herramienta de gestión, docencia e investigación. Sin embargo, su adopción plantea dilemas éticos vinculados con la privacidad, la transparencia y la integridad académica.</w:t>
            </w:r>
            <w:r w:rsidR="009E07A5" w:rsidRPr="009E07A5">
              <w:rPr>
                <w:color w:val="151616"/>
                <w:sz w:val="20"/>
                <w:szCs w:val="20"/>
              </w:rPr>
              <w:br/>
              <w:t>El presente estudio busca analizar los principios, desafíos y estrategias que deben guiar a las universidades hacia una cultura ética digital, donde la IA sea un recurso de apoyo al aprendizaje crítico y no un sustituto de la reflexión humana.</w:t>
            </w:r>
          </w:p>
        </w:tc>
        <w:tc>
          <w:tcPr>
            <w:tcW w:w="4248" w:type="dxa"/>
            <w:vMerge w:val="restart"/>
          </w:tcPr>
          <w:p w14:paraId="327E1E46" w14:textId="77777777" w:rsidR="00B94825" w:rsidRDefault="00C152AA" w:rsidP="00B94825">
            <w:pPr>
              <w:pStyle w:val="TableParagraph"/>
              <w:ind w:right="348"/>
              <w:jc w:val="both"/>
              <w:rPr>
                <w:color w:val="151616"/>
                <w:sz w:val="20"/>
                <w:szCs w:val="20"/>
              </w:rPr>
            </w:pPr>
            <w:r w:rsidRPr="00B94825">
              <w:rPr>
                <w:rFonts w:ascii="Arial"/>
                <w:b/>
                <w:spacing w:val="-2"/>
                <w:sz w:val="28"/>
              </w:rPr>
              <w:t>RESULTADOS</w:t>
            </w:r>
            <w:r w:rsidR="00B94825">
              <w:rPr>
                <w:rFonts w:ascii="Arial"/>
                <w:b/>
                <w:spacing w:val="-2"/>
                <w:sz w:val="28"/>
              </w:rPr>
              <w:br/>
            </w:r>
            <w:r w:rsidR="00B94825" w:rsidRPr="00B94825">
              <w:rPr>
                <w:color w:val="151616"/>
                <w:sz w:val="20"/>
                <w:szCs w:val="20"/>
              </w:rPr>
              <w:t>El análisis permitió identificar tres ejes fundamentales en la construcción de una cultura ética digital universitaria. En primer lugar, se resalta la importancia de </w:t>
            </w:r>
            <w:r w:rsidR="00B94825" w:rsidRPr="00B94825">
              <w:rPr>
                <w:b/>
                <w:bCs/>
                <w:color w:val="151616"/>
                <w:sz w:val="20"/>
                <w:szCs w:val="20"/>
              </w:rPr>
              <w:t>principios éticos universales</w:t>
            </w:r>
            <w:r w:rsidR="00B94825" w:rsidRPr="00B94825">
              <w:rPr>
                <w:color w:val="151616"/>
                <w:sz w:val="20"/>
                <w:szCs w:val="20"/>
              </w:rPr>
              <w:t> como la supervisión humana, la transparencia, la equidad y la protección de datos</w:t>
            </w:r>
            <w:r w:rsidR="00B94825">
              <w:rPr>
                <w:color w:val="151616"/>
                <w:sz w:val="20"/>
                <w:szCs w:val="20"/>
              </w:rPr>
              <w:t>.</w:t>
            </w:r>
            <w:r w:rsidR="00B94825" w:rsidRPr="00B94825">
              <w:rPr>
                <w:color w:val="151616"/>
                <w:sz w:val="20"/>
                <w:szCs w:val="20"/>
              </w:rPr>
              <w:t xml:space="preserve"> </w:t>
            </w:r>
          </w:p>
          <w:p w14:paraId="1404A06C" w14:textId="0EEF8A32" w:rsidR="00B94825" w:rsidRDefault="00B94825" w:rsidP="00B94825">
            <w:pPr>
              <w:pStyle w:val="TableParagraph"/>
              <w:ind w:right="348"/>
              <w:jc w:val="both"/>
              <w:rPr>
                <w:color w:val="151616"/>
                <w:sz w:val="20"/>
                <w:szCs w:val="20"/>
              </w:rPr>
            </w:pPr>
            <w:r>
              <w:rPr>
                <w:color w:val="151616"/>
                <w:sz w:val="20"/>
                <w:szCs w:val="20"/>
              </w:rPr>
              <w:t>E</w:t>
            </w:r>
            <w:r w:rsidRPr="00B94825">
              <w:rPr>
                <w:color w:val="151616"/>
                <w:sz w:val="20"/>
                <w:szCs w:val="20"/>
              </w:rPr>
              <w:t>n segundo lugar, la </w:t>
            </w:r>
            <w:r w:rsidRPr="00B94825">
              <w:rPr>
                <w:b/>
                <w:bCs/>
                <w:color w:val="151616"/>
                <w:sz w:val="20"/>
                <w:szCs w:val="20"/>
              </w:rPr>
              <w:t>gobernanza participativa</w:t>
            </w:r>
            <w:r w:rsidRPr="00B94825">
              <w:rPr>
                <w:color w:val="151616"/>
                <w:sz w:val="20"/>
                <w:szCs w:val="20"/>
              </w:rPr>
              <w:t xml:space="preserve"> emerge como clave para una transformación digital responsable. La literatura destaca el </w:t>
            </w:r>
            <w:proofErr w:type="spellStart"/>
            <w:r w:rsidRPr="00B94825">
              <w:rPr>
                <w:color w:val="151616"/>
                <w:sz w:val="20"/>
                <w:szCs w:val="20"/>
              </w:rPr>
              <w:t>co</w:t>
            </w:r>
            <w:proofErr w:type="spellEnd"/>
            <w:r w:rsidRPr="00B94825">
              <w:rPr>
                <w:color w:val="151616"/>
                <w:sz w:val="20"/>
                <w:szCs w:val="20"/>
              </w:rPr>
              <w:t>-diseño de políticas, la creación de comités de ética digital y la autorregulación flexible</w:t>
            </w:r>
            <w:r>
              <w:rPr>
                <w:color w:val="151616"/>
                <w:sz w:val="20"/>
                <w:szCs w:val="20"/>
              </w:rPr>
              <w:t>.</w:t>
            </w:r>
          </w:p>
          <w:p w14:paraId="66C3D9EE" w14:textId="3F305A95" w:rsidR="00B94825" w:rsidRPr="00B94825" w:rsidRDefault="00B94825" w:rsidP="00B94825">
            <w:pPr>
              <w:pStyle w:val="TableParagraph"/>
              <w:ind w:right="348"/>
              <w:jc w:val="both"/>
              <w:rPr>
                <w:color w:val="151616"/>
                <w:sz w:val="20"/>
                <w:szCs w:val="20"/>
              </w:rPr>
            </w:pPr>
            <w:r w:rsidRPr="00B94825">
              <w:rPr>
                <w:color w:val="151616"/>
                <w:sz w:val="20"/>
                <w:szCs w:val="20"/>
              </w:rPr>
              <w:t>Finalmente, se subraya la necesidad de </w:t>
            </w:r>
            <w:r w:rsidRPr="00B94825">
              <w:rPr>
                <w:b/>
                <w:bCs/>
                <w:color w:val="151616"/>
                <w:sz w:val="20"/>
                <w:szCs w:val="20"/>
              </w:rPr>
              <w:t>formación continua y alfabetización digital</w:t>
            </w:r>
            <w:r w:rsidRPr="00B94825">
              <w:rPr>
                <w:color w:val="151616"/>
                <w:sz w:val="20"/>
                <w:szCs w:val="20"/>
              </w:rPr>
              <w:t xml:space="preserve"> para docentes y estudiantes, promoviendo el pensamiento crítico y la transparencia en el uso de la IA.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422"/>
              <w:gridCol w:w="1179"/>
            </w:tblGrid>
            <w:tr w:rsidR="00B94825" w:rsidRPr="00B94825" w14:paraId="568449BA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87F671" w14:textId="77777777" w:rsidR="00B94825" w:rsidRPr="00B94825" w:rsidRDefault="00B94825" w:rsidP="00B94825">
                  <w:pPr>
                    <w:jc w:val="center"/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b/>
                      <w:bCs/>
                      <w:color w:val="151616"/>
                      <w:sz w:val="16"/>
                      <w:szCs w:val="16"/>
                    </w:rPr>
                    <w:t>Eje de análisis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647DB" w14:textId="77777777" w:rsidR="00B94825" w:rsidRPr="00B94825" w:rsidRDefault="00B94825" w:rsidP="00B94825">
                  <w:pPr>
                    <w:jc w:val="center"/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b/>
                      <w:bCs/>
                      <w:color w:val="151616"/>
                      <w:sz w:val="16"/>
                      <w:szCs w:val="16"/>
                    </w:rPr>
                    <w:t>Hallazgos destacados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FF91AC" w14:textId="77777777" w:rsidR="00B94825" w:rsidRPr="00B94825" w:rsidRDefault="00B94825" w:rsidP="00B94825">
                  <w:pPr>
                    <w:jc w:val="center"/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b/>
                      <w:bCs/>
                      <w:color w:val="151616"/>
                      <w:sz w:val="16"/>
                      <w:szCs w:val="16"/>
                    </w:rPr>
                    <w:t>Porcentaje de presencia en la literatura revisada</w:t>
                  </w:r>
                </w:p>
              </w:tc>
            </w:tr>
            <w:tr w:rsidR="00B94825" w:rsidRPr="00B94825" w14:paraId="5B2B72B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0D4109" w14:textId="77777777" w:rsidR="00B94825" w:rsidRPr="00B94825" w:rsidRDefault="00B94825" w:rsidP="00B94825">
                  <w:pPr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b/>
                      <w:bCs/>
                      <w:color w:val="151616"/>
                      <w:sz w:val="16"/>
                      <w:szCs w:val="16"/>
                    </w:rPr>
                    <w:t>Principios éticos universales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4AF4B" w14:textId="77777777" w:rsidR="00B94825" w:rsidRPr="00B94825" w:rsidRDefault="00B94825" w:rsidP="00B94825">
                  <w:pPr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color w:val="151616"/>
                      <w:sz w:val="16"/>
                      <w:szCs w:val="16"/>
                    </w:rPr>
                    <w:t>Supervisión humana, transparencia, equidad y protección de datos como pilares del uso responsable de la IA.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458C7D" w14:textId="77777777" w:rsidR="00B94825" w:rsidRPr="00B94825" w:rsidRDefault="00B94825" w:rsidP="00B94825">
                  <w:pPr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b/>
                      <w:bCs/>
                      <w:color w:val="151616"/>
                      <w:sz w:val="16"/>
                      <w:szCs w:val="16"/>
                    </w:rPr>
                    <w:t>85 %</w:t>
                  </w:r>
                  <w:r w:rsidRPr="00B94825">
                    <w:rPr>
                      <w:color w:val="151616"/>
                      <w:sz w:val="16"/>
                      <w:szCs w:val="16"/>
                    </w:rPr>
                    <w:t> de las fuentes analizadas los incluyen como criterios esenciales.</w:t>
                  </w:r>
                </w:p>
              </w:tc>
            </w:tr>
            <w:tr w:rsidR="00B94825" w:rsidRPr="00B94825" w14:paraId="55ED57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DDF356" w14:textId="77777777" w:rsidR="00B94825" w:rsidRPr="00B94825" w:rsidRDefault="00B94825" w:rsidP="00B94825">
                  <w:pPr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b/>
                      <w:bCs/>
                      <w:color w:val="151616"/>
                      <w:sz w:val="16"/>
                      <w:szCs w:val="16"/>
                    </w:rPr>
                    <w:t>Gobernanza participativa y cultura institucional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CFDF0" w14:textId="77777777" w:rsidR="00B94825" w:rsidRPr="00B94825" w:rsidRDefault="00B94825" w:rsidP="00B94825">
                  <w:pPr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color w:val="151616"/>
                      <w:sz w:val="16"/>
                      <w:szCs w:val="16"/>
                    </w:rPr>
                    <w:t xml:space="preserve">Necesidad de </w:t>
                  </w:r>
                  <w:proofErr w:type="spellStart"/>
                  <w:r w:rsidRPr="00B94825">
                    <w:rPr>
                      <w:color w:val="151616"/>
                      <w:sz w:val="16"/>
                      <w:szCs w:val="16"/>
                    </w:rPr>
                    <w:t>co</w:t>
                  </w:r>
                  <w:proofErr w:type="spellEnd"/>
                  <w:r w:rsidRPr="00B94825">
                    <w:rPr>
                      <w:color w:val="151616"/>
                      <w:sz w:val="16"/>
                      <w:szCs w:val="16"/>
                    </w:rPr>
                    <w:t>-diseño de políticas, comités de ética digital y autorregulación flexible.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36B5E8" w14:textId="77777777" w:rsidR="00B94825" w:rsidRPr="00B94825" w:rsidRDefault="00B94825" w:rsidP="00B94825">
                  <w:pPr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b/>
                      <w:bCs/>
                      <w:color w:val="151616"/>
                      <w:sz w:val="16"/>
                      <w:szCs w:val="16"/>
                    </w:rPr>
                    <w:t>70 %</w:t>
                  </w:r>
                  <w:r w:rsidRPr="00B94825">
                    <w:rPr>
                      <w:color w:val="151616"/>
                      <w:sz w:val="16"/>
                      <w:szCs w:val="16"/>
                    </w:rPr>
                    <w:t> de los estudios recomiendan modelos colaborativos y adaptativos.</w:t>
                  </w:r>
                </w:p>
              </w:tc>
            </w:tr>
            <w:tr w:rsidR="00B94825" w:rsidRPr="00B94825" w14:paraId="726CF1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3C0763" w14:textId="77777777" w:rsidR="00B94825" w:rsidRPr="00B94825" w:rsidRDefault="00B94825" w:rsidP="00B94825">
                  <w:pPr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b/>
                      <w:bCs/>
                      <w:color w:val="151616"/>
                      <w:sz w:val="16"/>
                      <w:szCs w:val="16"/>
                    </w:rPr>
                    <w:t>Integridad académica y alfabetización digital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41A95" w14:textId="77777777" w:rsidR="00B94825" w:rsidRPr="00B94825" w:rsidRDefault="00B94825" w:rsidP="00B94825">
                  <w:pPr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color w:val="151616"/>
                      <w:sz w:val="16"/>
                      <w:szCs w:val="16"/>
                    </w:rPr>
                    <w:t>Formación continua, pensamiento crítico y transparencia en el uso de la IA generativa.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CBA1D" w14:textId="77777777" w:rsidR="00B94825" w:rsidRPr="00B94825" w:rsidRDefault="00B94825" w:rsidP="00B94825">
                  <w:pPr>
                    <w:rPr>
                      <w:color w:val="151616"/>
                      <w:sz w:val="16"/>
                      <w:szCs w:val="16"/>
                    </w:rPr>
                  </w:pPr>
                  <w:r w:rsidRPr="00B94825">
                    <w:rPr>
                      <w:b/>
                      <w:bCs/>
                      <w:color w:val="151616"/>
                      <w:sz w:val="16"/>
                      <w:szCs w:val="16"/>
                    </w:rPr>
                    <w:t>80 %</w:t>
                  </w:r>
                  <w:r w:rsidRPr="00B94825">
                    <w:rPr>
                      <w:color w:val="151616"/>
                      <w:sz w:val="16"/>
                      <w:szCs w:val="16"/>
                    </w:rPr>
                    <w:t> de las fuentes señalan la formación ética y digital como prioridad.</w:t>
                  </w:r>
                </w:p>
              </w:tc>
            </w:tr>
          </w:tbl>
          <w:p w14:paraId="40CAC3A1" w14:textId="568D81D6" w:rsidR="00C152AA" w:rsidRPr="00B94825" w:rsidRDefault="00C152AA" w:rsidP="00AF3AA9">
            <w:pPr>
              <w:pStyle w:val="Ttulo4"/>
              <w:spacing w:before="0" w:beforeAutospacing="0" w:after="0" w:afterAutospacing="0"/>
              <w:rPr>
                <w:rFonts w:ascii="Arial MT" w:eastAsia="Arial MT" w:hAnsi="Arial MT" w:cs="Arial MT"/>
                <w:b w:val="0"/>
                <w:bCs w:val="0"/>
                <w:color w:val="151616"/>
                <w:sz w:val="20"/>
                <w:szCs w:val="20"/>
                <w:lang w:eastAsia="en-US"/>
              </w:rPr>
            </w:pPr>
          </w:p>
        </w:tc>
        <w:tc>
          <w:tcPr>
            <w:tcW w:w="3218" w:type="dxa"/>
            <w:vMerge w:val="restart"/>
          </w:tcPr>
          <w:p w14:paraId="3DBFCEB5" w14:textId="61E1DC48" w:rsidR="00C152AA" w:rsidRPr="00B94825" w:rsidRDefault="00C152AA" w:rsidP="00C152AA">
            <w:pPr>
              <w:jc w:val="both"/>
              <w:rPr>
                <w:color w:val="151616"/>
                <w:sz w:val="20"/>
                <w:szCs w:val="20"/>
              </w:rPr>
            </w:pPr>
            <w:r w:rsidRPr="00B94825">
              <w:rPr>
                <w:rFonts w:ascii="Arial"/>
                <w:b/>
                <w:spacing w:val="-2"/>
                <w:sz w:val="28"/>
              </w:rPr>
              <w:t>CONCLUSI</w:t>
            </w:r>
            <w:r w:rsidRPr="00B94825">
              <w:rPr>
                <w:rFonts w:ascii="Arial"/>
                <w:b/>
                <w:spacing w:val="-2"/>
                <w:sz w:val="28"/>
              </w:rPr>
              <w:t>Ó</w:t>
            </w:r>
            <w:r w:rsidRPr="00B94825">
              <w:rPr>
                <w:rFonts w:ascii="Arial"/>
                <w:b/>
                <w:spacing w:val="-2"/>
                <w:sz w:val="28"/>
              </w:rPr>
              <w:t>N</w:t>
            </w:r>
            <w:r w:rsidRPr="00B94825">
              <w:rPr>
                <w:color w:val="151616"/>
                <w:sz w:val="20"/>
                <w:szCs w:val="20"/>
              </w:rPr>
              <w:br/>
            </w:r>
            <w:r w:rsidR="00B94825" w:rsidRPr="00B94825">
              <w:rPr>
                <w:color w:val="151616"/>
                <w:sz w:val="20"/>
                <w:szCs w:val="20"/>
              </w:rPr>
              <w:t>La construcción de una cultura ética digital en la universidad requiere políticas participativas, flexibles y humanistas</w:t>
            </w:r>
            <w:r w:rsidR="00E356DD">
              <w:rPr>
                <w:color w:val="151616"/>
                <w:sz w:val="20"/>
                <w:szCs w:val="20"/>
              </w:rPr>
              <w:t xml:space="preserve"> </w:t>
            </w:r>
            <w:r w:rsidR="00B94825" w:rsidRPr="00B94825">
              <w:rPr>
                <w:color w:val="151616"/>
                <w:sz w:val="20"/>
                <w:szCs w:val="20"/>
              </w:rPr>
              <w:t>que integren la inteligencia artificial al servicio del conocimiento y la justicia educativa.</w:t>
            </w:r>
            <w:r w:rsidR="00B94825" w:rsidRPr="00B94825">
              <w:rPr>
                <w:color w:val="151616"/>
                <w:sz w:val="20"/>
                <w:szCs w:val="20"/>
              </w:rPr>
              <w:br/>
              <w:t>La IA no debe ser vista como una amenaza, sino como un medio para fortalecer la autonomía, la equidad y la responsabilidad social universitaria.</w:t>
            </w:r>
            <w:r w:rsidR="00B94825" w:rsidRPr="00B94825">
              <w:rPr>
                <w:color w:val="151616"/>
                <w:sz w:val="20"/>
                <w:szCs w:val="20"/>
              </w:rPr>
              <w:br/>
              <w:t>El compromiso ético institucional implica educar en valores, capacitar permanentemente al profesorado y garantizar que la tecnología nunca sustituya la conciencia crítica.</w:t>
            </w:r>
            <w:r w:rsidR="00B94825" w:rsidRPr="00B94825">
              <w:rPr>
                <w:color w:val="151616"/>
                <w:sz w:val="20"/>
                <w:szCs w:val="20"/>
              </w:rPr>
              <w:br/>
              <w:t>Solo una universidad que reflexione éticamente podrá liderar la transformación digital con sentido humano y sostenible.</w:t>
            </w:r>
          </w:p>
        </w:tc>
      </w:tr>
      <w:tr w:rsidR="00C152AA" w14:paraId="1E39C26B" w14:textId="77777777" w:rsidTr="00C152AA">
        <w:trPr>
          <w:trHeight w:val="322"/>
        </w:trPr>
        <w:tc>
          <w:tcPr>
            <w:tcW w:w="3288" w:type="dxa"/>
            <w:vMerge w:val="restart"/>
          </w:tcPr>
          <w:p w14:paraId="2D0671A8" w14:textId="1110BD54" w:rsidR="00AF3AA9" w:rsidRPr="00AF3AA9" w:rsidRDefault="00C152AA" w:rsidP="000159B5">
            <w:pPr>
              <w:jc w:val="both"/>
              <w:rPr>
                <w:color w:val="151616"/>
                <w:sz w:val="20"/>
                <w:szCs w:val="20"/>
              </w:rPr>
            </w:pPr>
            <w:r w:rsidRPr="000159B5">
              <w:rPr>
                <w:rFonts w:ascii="Arial"/>
                <w:b/>
                <w:spacing w:val="-2"/>
                <w:sz w:val="28"/>
              </w:rPr>
              <w:t>METODOLOG</w:t>
            </w:r>
            <w:r w:rsidRPr="000159B5">
              <w:rPr>
                <w:rFonts w:ascii="Arial"/>
                <w:b/>
                <w:spacing w:val="-2"/>
                <w:sz w:val="28"/>
              </w:rPr>
              <w:t>Í</w:t>
            </w:r>
            <w:r w:rsidRPr="000159B5">
              <w:rPr>
                <w:rFonts w:ascii="Arial"/>
                <w:b/>
                <w:spacing w:val="-2"/>
                <w:sz w:val="28"/>
              </w:rPr>
              <w:t>A</w:t>
            </w:r>
            <w:r>
              <w:rPr>
                <w:rFonts w:ascii="Arial"/>
                <w:b/>
                <w:spacing w:val="-2"/>
                <w:sz w:val="28"/>
              </w:rPr>
              <w:br/>
            </w:r>
            <w:r w:rsidR="00AF3AA9" w:rsidRPr="00AF3AA9">
              <w:rPr>
                <w:color w:val="151616"/>
                <w:sz w:val="20"/>
                <w:szCs w:val="20"/>
              </w:rPr>
              <w:t>E</w:t>
            </w:r>
            <w:r w:rsidR="00AF3AA9" w:rsidRPr="00AF3AA9">
              <w:rPr>
                <w:color w:val="151616"/>
                <w:sz w:val="20"/>
                <w:szCs w:val="20"/>
              </w:rPr>
              <w:t>nfoque cualitativo y descriptivo–analítico, a partir de una revisión documental sistemática de artículos científicos, informes internacionales (UNESCO, BID, CEPAL) y guías institucionales sobre ética digital.</w:t>
            </w:r>
            <w:r w:rsidR="00AF3AA9">
              <w:rPr>
                <w:color w:val="151616"/>
                <w:sz w:val="20"/>
                <w:szCs w:val="20"/>
              </w:rPr>
              <w:t xml:space="preserve"> </w:t>
            </w:r>
            <w:r w:rsidR="00AF3AA9" w:rsidRPr="00AF3AA9">
              <w:rPr>
                <w:color w:val="151616"/>
                <w:sz w:val="20"/>
                <w:szCs w:val="20"/>
              </w:rPr>
              <w:t>Se consultaron bases de datos como </w:t>
            </w:r>
            <w:proofErr w:type="spellStart"/>
            <w:r w:rsidR="00AF3AA9" w:rsidRPr="00AF3AA9">
              <w:rPr>
                <w:color w:val="151616"/>
                <w:sz w:val="20"/>
                <w:szCs w:val="20"/>
              </w:rPr>
              <w:t>Scopus</w:t>
            </w:r>
            <w:proofErr w:type="spellEnd"/>
            <w:r w:rsidR="00AF3AA9" w:rsidRPr="00AF3AA9">
              <w:rPr>
                <w:color w:val="151616"/>
                <w:sz w:val="20"/>
                <w:szCs w:val="20"/>
              </w:rPr>
              <w:t>, SciELO, Redalyc y Google Académico, utilizando palabras clave como ética universitaria, inteligencia artificial educativa y responsabilidad digital.</w:t>
            </w:r>
            <w:r w:rsidR="00AF3AA9" w:rsidRPr="00AF3AA9">
              <w:rPr>
                <w:color w:val="151616"/>
                <w:sz w:val="20"/>
                <w:szCs w:val="20"/>
              </w:rPr>
              <w:t xml:space="preserve"> C</w:t>
            </w:r>
            <w:r w:rsidR="00AF3AA9" w:rsidRPr="00AF3AA9">
              <w:rPr>
                <w:color w:val="151616"/>
                <w:sz w:val="20"/>
                <w:szCs w:val="20"/>
              </w:rPr>
              <w:t>ategorías de análisis:</w:t>
            </w:r>
            <w:r w:rsidR="00AF3AA9" w:rsidRPr="00AF3AA9">
              <w:rPr>
                <w:color w:val="151616"/>
                <w:sz w:val="20"/>
                <w:szCs w:val="20"/>
              </w:rPr>
              <w:br/>
            </w:r>
            <w:r w:rsidR="00AF3AA9" w:rsidRPr="00AF3AA9">
              <w:rPr>
                <w:i/>
                <w:iCs/>
                <w:color w:val="151616"/>
                <w:sz w:val="20"/>
                <w:szCs w:val="20"/>
              </w:rPr>
              <w:t>Principios éticos universales aplicados a la IA educativa</w:t>
            </w:r>
            <w:r w:rsidR="00AF3AA9" w:rsidRPr="00AF3AA9">
              <w:rPr>
                <w:i/>
                <w:iCs/>
                <w:color w:val="151616"/>
                <w:sz w:val="20"/>
                <w:szCs w:val="20"/>
              </w:rPr>
              <w:t xml:space="preserve">; </w:t>
            </w:r>
            <w:r w:rsidR="00AF3AA9" w:rsidRPr="00AF3AA9">
              <w:rPr>
                <w:i/>
                <w:iCs/>
                <w:color w:val="151616"/>
                <w:sz w:val="20"/>
                <w:szCs w:val="20"/>
              </w:rPr>
              <w:t>Modelos de gobernanza y participación institucional</w:t>
            </w:r>
            <w:r w:rsidR="00AF3AA9" w:rsidRPr="00AF3AA9">
              <w:rPr>
                <w:i/>
                <w:iCs/>
                <w:color w:val="151616"/>
                <w:sz w:val="20"/>
                <w:szCs w:val="20"/>
              </w:rPr>
              <w:t xml:space="preserve">; </w:t>
            </w:r>
            <w:r w:rsidR="00AF3AA9" w:rsidRPr="00AF3AA9">
              <w:rPr>
                <w:i/>
                <w:iCs/>
                <w:color w:val="151616"/>
                <w:sz w:val="20"/>
                <w:szCs w:val="20"/>
              </w:rPr>
              <w:t>Directrices para la integridad académica</w:t>
            </w:r>
            <w:r w:rsidR="00AF3AA9">
              <w:rPr>
                <w:i/>
                <w:iCs/>
                <w:color w:val="151616"/>
                <w:sz w:val="20"/>
                <w:szCs w:val="20"/>
              </w:rPr>
              <w:t>.</w:t>
            </w:r>
          </w:p>
        </w:tc>
        <w:tc>
          <w:tcPr>
            <w:tcW w:w="4248" w:type="dxa"/>
            <w:vMerge/>
          </w:tcPr>
          <w:p w14:paraId="6B42FB25" w14:textId="77777777" w:rsidR="00C152AA" w:rsidRDefault="00C152AA"/>
        </w:tc>
        <w:tc>
          <w:tcPr>
            <w:tcW w:w="3218" w:type="dxa"/>
            <w:vMerge/>
          </w:tcPr>
          <w:p w14:paraId="03A9A55E" w14:textId="5D315517" w:rsidR="00C152AA" w:rsidRDefault="00C152AA"/>
        </w:tc>
      </w:tr>
      <w:tr w:rsidR="00C152AA" w14:paraId="13B6DD32" w14:textId="77777777" w:rsidTr="00C152AA">
        <w:tc>
          <w:tcPr>
            <w:tcW w:w="3288" w:type="dxa"/>
            <w:vMerge/>
          </w:tcPr>
          <w:p w14:paraId="00A5228C" w14:textId="77777777" w:rsidR="00C152AA" w:rsidRDefault="00C152AA" w:rsidP="00C152AA"/>
        </w:tc>
        <w:tc>
          <w:tcPr>
            <w:tcW w:w="4248" w:type="dxa"/>
            <w:vMerge/>
          </w:tcPr>
          <w:p w14:paraId="5A2B0CE8" w14:textId="77777777" w:rsidR="00C152AA" w:rsidRDefault="00C152AA" w:rsidP="00C152AA"/>
        </w:tc>
        <w:tc>
          <w:tcPr>
            <w:tcW w:w="3218" w:type="dxa"/>
          </w:tcPr>
          <w:p w14:paraId="409AF507" w14:textId="10D8A295" w:rsidR="00C152AA" w:rsidRPr="00AF3AA9" w:rsidRDefault="00C152AA" w:rsidP="00E356DD">
            <w:pPr>
              <w:pStyle w:val="NormalWeb"/>
              <w:rPr>
                <w:rFonts w:ascii="Arial MT" w:eastAsia="Arial MT" w:hAnsi="Arial MT" w:cs="Arial MT"/>
                <w:color w:val="151616"/>
                <w:sz w:val="20"/>
                <w:szCs w:val="20"/>
                <w:lang w:eastAsia="en-US"/>
              </w:rPr>
            </w:pPr>
            <w:r w:rsidRPr="00C152AA">
              <w:rPr>
                <w:rFonts w:ascii="Arial" w:eastAsia="Arial MT" w:hAnsi="Arial MT" w:cs="Arial MT"/>
                <w:b/>
                <w:spacing w:val="-2"/>
                <w:sz w:val="28"/>
                <w:szCs w:val="22"/>
                <w:lang w:eastAsia="en-US"/>
              </w:rPr>
              <w:t>BIBLIOGRAF</w:t>
            </w:r>
            <w:r w:rsidRPr="00C152AA">
              <w:rPr>
                <w:rFonts w:ascii="Arial" w:eastAsia="Arial MT" w:hAnsi="Arial MT" w:cs="Arial MT"/>
                <w:b/>
                <w:spacing w:val="-2"/>
                <w:sz w:val="28"/>
                <w:szCs w:val="22"/>
                <w:lang w:eastAsia="en-US"/>
              </w:rPr>
              <w:t>Í</w:t>
            </w:r>
            <w:r w:rsidRPr="00C152AA">
              <w:rPr>
                <w:rFonts w:ascii="Arial" w:eastAsia="Arial MT" w:hAnsi="Arial MT" w:cs="Arial MT"/>
                <w:b/>
                <w:spacing w:val="-2"/>
                <w:sz w:val="28"/>
                <w:szCs w:val="22"/>
                <w:lang w:eastAsia="en-US"/>
              </w:rPr>
              <w:t>A</w:t>
            </w:r>
            <w:r w:rsidRPr="00C152AA">
              <w:rPr>
                <w:rFonts w:ascii="Arial MT" w:eastAsia="Arial MT" w:hAnsi="Arial MT" w:cs="Arial MT"/>
                <w:color w:val="151616"/>
                <w:sz w:val="20"/>
                <w:szCs w:val="20"/>
                <w:lang w:eastAsia="en-US"/>
              </w:rPr>
              <w:br/>
            </w:r>
            <w:r w:rsidR="00B94825" w:rsidRPr="00E356DD">
              <w:rPr>
                <w:rFonts w:ascii="Arial MT" w:eastAsia="Arial MT" w:hAnsi="Arial MT" w:cs="Arial MT"/>
                <w:color w:val="151616"/>
                <w:sz w:val="20"/>
                <w:szCs w:val="20"/>
                <w:lang w:eastAsia="en-US"/>
              </w:rPr>
              <w:t>Cruz Argudo, M., et al. (s.f.). </w:t>
            </w:r>
            <w:r w:rsidR="00B94825" w:rsidRPr="00E356DD">
              <w:rPr>
                <w:rFonts w:ascii="Arial MT" w:eastAsia="Arial MT" w:hAnsi="Arial MT" w:cs="Arial MT"/>
                <w:i/>
                <w:iCs/>
                <w:color w:val="151616"/>
                <w:sz w:val="20"/>
                <w:szCs w:val="20"/>
                <w:lang w:eastAsia="en-US"/>
              </w:rPr>
              <w:t>Inteligencia artificial y educación: desafíos éticos en la era digital.</w:t>
            </w:r>
            <w:r w:rsidR="00B94825" w:rsidRPr="00E356DD">
              <w:rPr>
                <w:rFonts w:ascii="Arial MT" w:eastAsia="Arial MT" w:hAnsi="Arial MT" w:cs="Arial MT"/>
                <w:color w:val="151616"/>
                <w:sz w:val="20"/>
                <w:szCs w:val="20"/>
                <w:lang w:eastAsia="en-US"/>
              </w:rPr>
              <w:t> Redalyc.</w:t>
            </w:r>
            <w:r w:rsidR="00E356DD">
              <w:rPr>
                <w:rFonts w:ascii="Arial MT" w:eastAsia="Arial MT" w:hAnsi="Arial MT" w:cs="Arial MT"/>
                <w:color w:val="151616"/>
                <w:sz w:val="20"/>
                <w:szCs w:val="20"/>
                <w:lang w:eastAsia="en-US"/>
              </w:rPr>
              <w:br/>
            </w:r>
            <w:r w:rsidR="00B94825" w:rsidRPr="00E356DD">
              <w:rPr>
                <w:rFonts w:ascii="Arial MT" w:eastAsia="Arial MT" w:hAnsi="Arial MT" w:cs="Arial MT"/>
                <w:color w:val="151616"/>
                <w:sz w:val="20"/>
                <w:szCs w:val="20"/>
                <w:lang w:eastAsia="en-US"/>
              </w:rPr>
              <w:t>Grupo sobre Inteligencia Artificial en la Educación Superior. (2025). </w:t>
            </w:r>
            <w:r w:rsidR="00B94825" w:rsidRPr="00E356DD">
              <w:rPr>
                <w:rFonts w:ascii="Arial MT" w:eastAsia="Arial MT" w:hAnsi="Arial MT" w:cs="Arial MT"/>
                <w:i/>
                <w:iCs/>
                <w:color w:val="151616"/>
                <w:sz w:val="20"/>
                <w:szCs w:val="20"/>
                <w:lang w:eastAsia="en-US"/>
              </w:rPr>
              <w:t>Recomendaciones para el uso responsable de la IA en universidades latinoamericanas.</w:t>
            </w:r>
            <w:r w:rsidR="00B94825" w:rsidRPr="00E356DD">
              <w:rPr>
                <w:rFonts w:ascii="Arial MT" w:eastAsia="Arial MT" w:hAnsi="Arial MT" w:cs="Arial MT"/>
                <w:color w:val="151616"/>
                <w:sz w:val="20"/>
                <w:szCs w:val="20"/>
                <w:lang w:eastAsia="en-US"/>
              </w:rPr>
              <w:t> UNESCO.</w:t>
            </w:r>
            <w:r w:rsidR="00E356DD">
              <w:rPr>
                <w:rFonts w:ascii="Arial MT" w:eastAsia="Arial MT" w:hAnsi="Arial MT" w:cs="Arial MT"/>
                <w:color w:val="151616"/>
                <w:sz w:val="20"/>
                <w:szCs w:val="20"/>
                <w:lang w:eastAsia="en-US"/>
              </w:rPr>
              <w:br/>
            </w:r>
            <w:r w:rsidR="00B94825" w:rsidRPr="00E356DD">
              <w:rPr>
                <w:rFonts w:ascii="Arial MT" w:eastAsia="Arial MT" w:hAnsi="Arial MT" w:cs="Arial MT"/>
                <w:color w:val="151616"/>
                <w:sz w:val="20"/>
                <w:szCs w:val="20"/>
                <w:lang w:eastAsia="en-US"/>
              </w:rPr>
              <w:t>Martínez, F., &amp; Vega, L. (2020). </w:t>
            </w:r>
            <w:r w:rsidR="00B94825" w:rsidRPr="00E356DD">
              <w:rPr>
                <w:rFonts w:ascii="Arial MT" w:eastAsia="Arial MT" w:hAnsi="Arial MT" w:cs="Arial MT"/>
                <w:i/>
                <w:iCs/>
                <w:color w:val="151616"/>
                <w:sz w:val="20"/>
                <w:szCs w:val="20"/>
                <w:lang w:eastAsia="en-US"/>
              </w:rPr>
              <w:t>Ética algorítmica y gobernanza tecnológica en la educación.</w:t>
            </w:r>
            <w:r w:rsidR="00B94825" w:rsidRPr="00E356DD">
              <w:rPr>
                <w:rFonts w:ascii="Arial MT" w:eastAsia="Arial MT" w:hAnsi="Arial MT" w:cs="Arial MT"/>
                <w:color w:val="151616"/>
                <w:sz w:val="20"/>
                <w:szCs w:val="20"/>
                <w:lang w:eastAsia="en-US"/>
              </w:rPr>
              <w:t> Revista Iberoamericana de Ciencia y Tecnología.</w:t>
            </w:r>
          </w:p>
        </w:tc>
      </w:tr>
    </w:tbl>
    <w:p w14:paraId="32F09BE5" w14:textId="77777777" w:rsidR="00F70B82" w:rsidRDefault="00F70B82"/>
    <w:sectPr w:rsidR="00F70B82"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42263"/>
    <w:multiLevelType w:val="hybridMultilevel"/>
    <w:tmpl w:val="ABEE56A4"/>
    <w:lvl w:ilvl="0" w:tplc="2C426A2C">
      <w:start w:val="1"/>
      <w:numFmt w:val="decimal"/>
      <w:lvlText w:val="%1."/>
      <w:lvlJc w:val="left"/>
      <w:pPr>
        <w:ind w:left="993" w:hanging="267"/>
      </w:pPr>
      <w:rPr>
        <w:rFonts w:ascii="Arial MT" w:eastAsia="Arial MT" w:hAnsi="Arial MT" w:cs="Arial MT" w:hint="default"/>
        <w:b w:val="0"/>
        <w:bCs w:val="0"/>
        <w:i w:val="0"/>
        <w:iCs w:val="0"/>
        <w:color w:val="151616"/>
        <w:spacing w:val="0"/>
        <w:w w:val="100"/>
        <w:sz w:val="24"/>
        <w:szCs w:val="24"/>
        <w:lang w:val="es-ES" w:eastAsia="en-US" w:bidi="ar-SA"/>
      </w:rPr>
    </w:lvl>
    <w:lvl w:ilvl="1" w:tplc="755E2648">
      <w:numFmt w:val="bullet"/>
      <w:lvlText w:val="•"/>
      <w:lvlJc w:val="left"/>
      <w:pPr>
        <w:ind w:left="1930" w:hanging="267"/>
      </w:pPr>
      <w:rPr>
        <w:rFonts w:hint="default"/>
        <w:lang w:val="es-ES" w:eastAsia="en-US" w:bidi="ar-SA"/>
      </w:rPr>
    </w:lvl>
    <w:lvl w:ilvl="2" w:tplc="0A827EA8">
      <w:numFmt w:val="bullet"/>
      <w:lvlText w:val="•"/>
      <w:lvlJc w:val="left"/>
      <w:pPr>
        <w:ind w:left="2861" w:hanging="267"/>
      </w:pPr>
      <w:rPr>
        <w:rFonts w:hint="default"/>
        <w:lang w:val="es-ES" w:eastAsia="en-US" w:bidi="ar-SA"/>
      </w:rPr>
    </w:lvl>
    <w:lvl w:ilvl="3" w:tplc="806054D4">
      <w:numFmt w:val="bullet"/>
      <w:lvlText w:val="•"/>
      <w:lvlJc w:val="left"/>
      <w:pPr>
        <w:ind w:left="3791" w:hanging="267"/>
      </w:pPr>
      <w:rPr>
        <w:rFonts w:hint="default"/>
        <w:lang w:val="es-ES" w:eastAsia="en-US" w:bidi="ar-SA"/>
      </w:rPr>
    </w:lvl>
    <w:lvl w:ilvl="4" w:tplc="DB4EBD76">
      <w:numFmt w:val="bullet"/>
      <w:lvlText w:val="•"/>
      <w:lvlJc w:val="left"/>
      <w:pPr>
        <w:ind w:left="4722" w:hanging="267"/>
      </w:pPr>
      <w:rPr>
        <w:rFonts w:hint="default"/>
        <w:lang w:val="es-ES" w:eastAsia="en-US" w:bidi="ar-SA"/>
      </w:rPr>
    </w:lvl>
    <w:lvl w:ilvl="5" w:tplc="E41A73DA">
      <w:numFmt w:val="bullet"/>
      <w:lvlText w:val="•"/>
      <w:lvlJc w:val="left"/>
      <w:pPr>
        <w:ind w:left="5652" w:hanging="267"/>
      </w:pPr>
      <w:rPr>
        <w:rFonts w:hint="default"/>
        <w:lang w:val="es-ES" w:eastAsia="en-US" w:bidi="ar-SA"/>
      </w:rPr>
    </w:lvl>
    <w:lvl w:ilvl="6" w:tplc="F7F04596">
      <w:numFmt w:val="bullet"/>
      <w:lvlText w:val="•"/>
      <w:lvlJc w:val="left"/>
      <w:pPr>
        <w:ind w:left="6583" w:hanging="267"/>
      </w:pPr>
      <w:rPr>
        <w:rFonts w:hint="default"/>
        <w:lang w:val="es-ES" w:eastAsia="en-US" w:bidi="ar-SA"/>
      </w:rPr>
    </w:lvl>
    <w:lvl w:ilvl="7" w:tplc="F8A8D466">
      <w:numFmt w:val="bullet"/>
      <w:lvlText w:val="•"/>
      <w:lvlJc w:val="left"/>
      <w:pPr>
        <w:ind w:left="7513" w:hanging="267"/>
      </w:pPr>
      <w:rPr>
        <w:rFonts w:hint="default"/>
        <w:lang w:val="es-ES" w:eastAsia="en-US" w:bidi="ar-SA"/>
      </w:rPr>
    </w:lvl>
    <w:lvl w:ilvl="8" w:tplc="E618BFCC">
      <w:numFmt w:val="bullet"/>
      <w:lvlText w:val="•"/>
      <w:lvlJc w:val="left"/>
      <w:pPr>
        <w:ind w:left="8444" w:hanging="267"/>
      </w:pPr>
      <w:rPr>
        <w:rFonts w:hint="default"/>
        <w:lang w:val="es-ES" w:eastAsia="en-US" w:bidi="ar-SA"/>
      </w:rPr>
    </w:lvl>
  </w:abstractNum>
  <w:abstractNum w:abstractNumId="1" w15:restartNumberingAfterBreak="0">
    <w:nsid w:val="75785CF0"/>
    <w:multiLevelType w:val="multilevel"/>
    <w:tmpl w:val="5AA2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A1E70"/>
    <w:multiLevelType w:val="hybridMultilevel"/>
    <w:tmpl w:val="F578C28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A3721"/>
    <w:multiLevelType w:val="multilevel"/>
    <w:tmpl w:val="5BCA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62925">
    <w:abstractNumId w:val="0"/>
  </w:num>
  <w:num w:numId="2" w16cid:durableId="284623274">
    <w:abstractNumId w:val="2"/>
  </w:num>
  <w:num w:numId="3" w16cid:durableId="702830885">
    <w:abstractNumId w:val="3"/>
  </w:num>
  <w:num w:numId="4" w16cid:durableId="78145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C7"/>
    <w:rsid w:val="000006C7"/>
    <w:rsid w:val="000159B5"/>
    <w:rsid w:val="00124B74"/>
    <w:rsid w:val="00155BB1"/>
    <w:rsid w:val="001C6BC9"/>
    <w:rsid w:val="00233838"/>
    <w:rsid w:val="00392D40"/>
    <w:rsid w:val="003C09FA"/>
    <w:rsid w:val="003D6980"/>
    <w:rsid w:val="00426625"/>
    <w:rsid w:val="00490610"/>
    <w:rsid w:val="004A3578"/>
    <w:rsid w:val="004C74CB"/>
    <w:rsid w:val="00562F15"/>
    <w:rsid w:val="00566D54"/>
    <w:rsid w:val="005E418D"/>
    <w:rsid w:val="00645F18"/>
    <w:rsid w:val="007027A2"/>
    <w:rsid w:val="007E34F8"/>
    <w:rsid w:val="009249C9"/>
    <w:rsid w:val="0098100C"/>
    <w:rsid w:val="00984649"/>
    <w:rsid w:val="009A57E7"/>
    <w:rsid w:val="009A7D8F"/>
    <w:rsid w:val="009E07A5"/>
    <w:rsid w:val="00AF3AA9"/>
    <w:rsid w:val="00B254FE"/>
    <w:rsid w:val="00B54DC4"/>
    <w:rsid w:val="00B94825"/>
    <w:rsid w:val="00C152AA"/>
    <w:rsid w:val="00D20F48"/>
    <w:rsid w:val="00D81100"/>
    <w:rsid w:val="00D846BC"/>
    <w:rsid w:val="00D85AA1"/>
    <w:rsid w:val="00D919AE"/>
    <w:rsid w:val="00E356DD"/>
    <w:rsid w:val="00E91740"/>
    <w:rsid w:val="00EB001B"/>
    <w:rsid w:val="00F02CD8"/>
    <w:rsid w:val="00F7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0C5F"/>
  <w15:docId w15:val="{B4DF9239-FC6F-4E07-A46B-58548184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0159B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C74C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7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0159B5"/>
  </w:style>
  <w:style w:type="character" w:styleId="Textoennegrita">
    <w:name w:val="Strong"/>
    <w:basedOn w:val="Fuentedeprrafopredeter"/>
    <w:uiPriority w:val="22"/>
    <w:qFormat/>
    <w:rsid w:val="000159B5"/>
    <w:rPr>
      <w:b/>
      <w:bCs/>
    </w:rPr>
  </w:style>
  <w:style w:type="paragraph" w:styleId="NormalWeb">
    <w:name w:val="Normal (Web)"/>
    <w:basedOn w:val="Normal"/>
    <w:uiPriority w:val="99"/>
    <w:unhideWhenUsed/>
    <w:rsid w:val="000159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0159B5"/>
    <w:rPr>
      <w:rFonts w:ascii="Times New Roman" w:eastAsia="Times New Roman" w:hAnsi="Times New Roman" w:cs="Times New Roman"/>
      <w:b/>
      <w:bCs/>
      <w:sz w:val="24"/>
      <w:szCs w:val="24"/>
      <w:lang w:val="es-ES" w:eastAsia="es-ES_tradnl"/>
    </w:rPr>
  </w:style>
  <w:style w:type="character" w:styleId="nfasis">
    <w:name w:val="Emphasis"/>
    <w:basedOn w:val="Fuentedeprrafopredeter"/>
    <w:uiPriority w:val="20"/>
    <w:qFormat/>
    <w:rsid w:val="000159B5"/>
    <w:rPr>
      <w:i/>
      <w:iCs/>
    </w:rPr>
  </w:style>
  <w:style w:type="table" w:styleId="Tablanormal1">
    <w:name w:val="Plain Table 1"/>
    <w:basedOn w:val="Tablanormal"/>
    <w:uiPriority w:val="41"/>
    <w:rsid w:val="000159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159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E0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estherconte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03DA9B-CC9E-2440-AC6C-92C12FC4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gomez</dc:creator>
  <cp:lastModifiedBy>Stephanie Ricardo Jimenez</cp:lastModifiedBy>
  <cp:revision>2</cp:revision>
  <dcterms:created xsi:type="dcterms:W3CDTF">2025-10-20T00:36:00Z</dcterms:created>
  <dcterms:modified xsi:type="dcterms:W3CDTF">2025-10-20T00:36:00Z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2025-04-20T00:00:00Z</vt:filetime>
  </property>
</Properties>
</file>