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C3ACD">
      <w:pPr>
        <w:spacing w:after="0" w:line="259" w:lineRule="auto"/>
        <w:ind w:left="0" w:firstLine="0"/>
        <w:jc w:val="left"/>
      </w:pPr>
      <w:r>
        <w:rPr>
          <w:rFonts w:ascii="Times New Roman" w:hAnsi="Times New Roman" w:eastAsia="Times New Roman" w:cs="Times New Roman"/>
          <w:sz w:val="28"/>
        </w:rPr>
        <w:t xml:space="preserve"> </w:t>
      </w:r>
    </w:p>
    <w:p w14:paraId="7C189865">
      <w:pPr>
        <w:spacing w:after="0" w:line="259" w:lineRule="auto"/>
        <w:ind w:left="0" w:firstLine="0"/>
        <w:jc w:val="left"/>
      </w:pPr>
      <w:r>
        <w:rPr>
          <w:rFonts w:ascii="Times New Roman" w:hAnsi="Times New Roman" w:eastAsia="Times New Roman" w:cs="Times New Roman"/>
          <w:sz w:val="28"/>
        </w:rPr>
        <w:t xml:space="preserve"> </w:t>
      </w:r>
    </w:p>
    <w:p w14:paraId="569B574C">
      <w:pPr>
        <w:spacing w:after="37" w:line="259" w:lineRule="auto"/>
        <w:ind w:left="0" w:firstLine="0"/>
        <w:jc w:val="left"/>
      </w:pPr>
      <w:r>
        <w:rPr>
          <w:rFonts w:ascii="Times New Roman" w:hAnsi="Times New Roman" w:eastAsia="Times New Roman" w:cs="Times New Roman"/>
          <w:sz w:val="28"/>
        </w:rPr>
        <w:t xml:space="preserve"> </w:t>
      </w:r>
    </w:p>
    <w:p w14:paraId="2070DB26">
      <w:pPr>
        <w:spacing w:after="134" w:line="259" w:lineRule="auto"/>
        <w:ind w:left="0" w:firstLine="0"/>
        <w:jc w:val="left"/>
      </w:pPr>
      <w:r>
        <w:rPr>
          <w:rFonts w:ascii="Times New Roman" w:hAnsi="Times New Roman" w:eastAsia="Times New Roman" w:cs="Times New Roman"/>
          <w:sz w:val="28"/>
        </w:rPr>
        <w:t xml:space="preserve"> </w:t>
      </w:r>
    </w:p>
    <w:p w14:paraId="2CC87455">
      <w:pPr>
        <w:spacing w:after="198" w:line="259" w:lineRule="auto"/>
        <w:ind w:left="340" w:firstLine="0"/>
        <w:jc w:val="center"/>
        <w:rPr>
          <w:b/>
          <w:bCs/>
        </w:rPr>
      </w:pPr>
      <w:r>
        <w:rPr>
          <w:b/>
          <w:bCs/>
        </w:rPr>
        <w:t>"Impacto de la Pandemia COVID-19 en los estudiantes de Educación Superior en Panamá"</w:t>
      </w:r>
    </w:p>
    <w:p w14:paraId="72C4B641">
      <w:pPr>
        <w:spacing w:after="198" w:line="259" w:lineRule="auto"/>
        <w:ind w:left="340" w:firstLine="0"/>
        <w:jc w:val="center"/>
      </w:pPr>
    </w:p>
    <w:p w14:paraId="5CEF4A3B">
      <w:pPr>
        <w:spacing w:after="198" w:line="259" w:lineRule="auto"/>
        <w:ind w:left="340" w:firstLine="0"/>
        <w:jc w:val="center"/>
        <w:rPr>
          <w:lang w:val="es-ES"/>
        </w:rPr>
      </w:pPr>
    </w:p>
    <w:p w14:paraId="020992DF">
      <w:pPr>
        <w:spacing w:after="0" w:line="259" w:lineRule="auto"/>
        <w:ind w:left="0" w:firstLine="0"/>
        <w:jc w:val="center"/>
        <w:rPr>
          <w:lang w:val="en-US"/>
        </w:rPr>
      </w:pPr>
      <w:r>
        <w:rPr>
          <w:lang w:val="en-US"/>
        </w:rPr>
        <w:t>Impact of the COVID-19 Pandemic on higher Education Students in Panama</w:t>
      </w:r>
    </w:p>
    <w:p w14:paraId="4454341A">
      <w:pPr>
        <w:spacing w:after="0" w:line="259" w:lineRule="auto"/>
        <w:ind w:left="0" w:firstLine="0"/>
        <w:jc w:val="right"/>
        <w:rPr>
          <w:lang w:val="en-US"/>
        </w:rPr>
      </w:pPr>
      <w:r>
        <w:rPr>
          <w:lang w:val="en-US"/>
        </w:rPr>
        <w:t xml:space="preserve"> </w:t>
      </w:r>
    </w:p>
    <w:p w14:paraId="6D5FA109">
      <w:pPr>
        <w:spacing w:after="0" w:line="259" w:lineRule="auto"/>
        <w:ind w:left="0" w:right="67" w:firstLine="0"/>
        <w:jc w:val="right"/>
        <w:rPr>
          <w:iCs/>
        </w:rPr>
      </w:pPr>
      <w:r>
        <w:rPr>
          <w:bCs/>
          <w:iCs/>
        </w:rPr>
        <w:t>Anyuri Vega</w:t>
      </w:r>
      <w:r>
        <w:rPr>
          <w:iCs/>
        </w:rPr>
        <w:t xml:space="preserve"> </w:t>
      </w:r>
    </w:p>
    <w:p w14:paraId="08B1D414">
      <w:pPr>
        <w:spacing w:after="0" w:line="252" w:lineRule="auto"/>
        <w:ind w:left="3021" w:right="64" w:firstLine="0"/>
        <w:jc w:val="right"/>
      </w:pPr>
      <w:r>
        <w:rPr>
          <w:sz w:val="22"/>
        </w:rPr>
        <w:t xml:space="preserve">Universidad de Los Llanos del Pacífico. Panamá </w:t>
      </w:r>
      <w:r>
        <w:fldChar w:fldCharType="begin"/>
      </w:r>
      <w:r>
        <w:instrText xml:space="preserve"> HYPERLINK "mailto:anyuri.vega@udellpa.edu.pa" </w:instrText>
      </w:r>
      <w:r>
        <w:fldChar w:fldCharType="separate"/>
      </w:r>
      <w:r>
        <w:rPr>
          <w:rStyle w:val="5"/>
          <w:sz w:val="22"/>
        </w:rPr>
        <w:t>anyuri.vega@udellpa.edu.pa</w:t>
      </w:r>
      <w:r>
        <w:rPr>
          <w:rStyle w:val="5"/>
          <w:sz w:val="22"/>
        </w:rPr>
        <w:fldChar w:fldCharType="end"/>
      </w:r>
      <w:r>
        <w:rPr>
          <w:sz w:val="22"/>
        </w:rPr>
        <w:t xml:space="preserve">   </w:t>
      </w:r>
    </w:p>
    <w:p w14:paraId="2921B5D8">
      <w:pPr>
        <w:spacing w:after="115" w:line="259" w:lineRule="auto"/>
        <w:ind w:left="0" w:firstLine="0"/>
        <w:jc w:val="left"/>
      </w:pPr>
      <w:r>
        <w:rPr>
          <w:sz w:val="22"/>
        </w:rPr>
        <w:t xml:space="preserve"> </w:t>
      </w:r>
    </w:p>
    <w:p w14:paraId="0D49EA40">
      <w:pPr>
        <w:spacing w:after="0" w:line="259" w:lineRule="auto"/>
        <w:ind w:left="0" w:firstLine="0"/>
        <w:jc w:val="left"/>
      </w:pPr>
      <w:r>
        <w:rPr>
          <w:sz w:val="22"/>
        </w:rPr>
        <w:t xml:space="preserve"> </w:t>
      </w:r>
    </w:p>
    <w:p w14:paraId="67AC575D">
      <w:pPr>
        <w:spacing w:after="0" w:line="259" w:lineRule="auto"/>
        <w:ind w:left="317" w:hanging="10"/>
        <w:jc w:val="left"/>
      </w:pPr>
      <w:r>
        <w:rPr>
          <w:b/>
          <w:sz w:val="20"/>
        </w:rPr>
        <w:t xml:space="preserve">Recibido: </w:t>
      </w:r>
      <w:r>
        <w:rPr>
          <w:sz w:val="20"/>
        </w:rPr>
        <w:t xml:space="preserve">23 de septiembre de 2025 </w:t>
      </w:r>
    </w:p>
    <w:p w14:paraId="59A07AE0">
      <w:pPr>
        <w:spacing w:after="51" w:line="259" w:lineRule="auto"/>
        <w:ind w:left="317" w:hanging="10"/>
        <w:jc w:val="left"/>
      </w:pPr>
      <w:r>
        <w:rPr>
          <w:b/>
          <w:sz w:val="20"/>
        </w:rPr>
        <w:t xml:space="preserve">Aceptado: </w:t>
      </w:r>
      <w:r>
        <w:rPr>
          <w:sz w:val="20"/>
        </w:rPr>
        <w:t xml:space="preserve">12 de noviembre de 2025 </w:t>
      </w:r>
    </w:p>
    <w:p w14:paraId="7C96D962">
      <w:pPr>
        <w:spacing w:after="0" w:line="259" w:lineRule="auto"/>
        <w:ind w:left="317" w:hanging="10"/>
        <w:jc w:val="left"/>
        <w:rPr>
          <w:lang w:val="en-US"/>
        </w:rPr>
      </w:pPr>
      <w:r>
        <w:rPr>
          <w:b/>
          <w:sz w:val="20"/>
          <w:lang w:val="en-US"/>
        </w:rPr>
        <w:t xml:space="preserve">URL: </w:t>
      </w:r>
      <w:r>
        <w:fldChar w:fldCharType="begin"/>
      </w:r>
      <w:r>
        <w:instrText xml:space="preserve"> HYPERLINK "https://relaticpanama.org/_journals/index.php/dialogoseducativos/issue/view/6" \h </w:instrText>
      </w:r>
      <w:r>
        <w:fldChar w:fldCharType="separate"/>
      </w:r>
      <w:r>
        <w:rPr>
          <w:color w:val="0000FF"/>
          <w:sz w:val="20"/>
          <w:u w:val="single" w:color="0000FF"/>
          <w:lang w:val="en-US"/>
        </w:rPr>
        <w:t>https://relaticpanama.org/_journals/index.php/dialogoseducativos/issue/view/6</w:t>
      </w:r>
      <w:r>
        <w:rPr>
          <w:color w:val="0000FF"/>
          <w:sz w:val="20"/>
          <w:u w:val="single" w:color="0000FF"/>
          <w:lang w:val="en-US"/>
        </w:rPr>
        <w:fldChar w:fldCharType="end"/>
      </w:r>
      <w:r>
        <w:fldChar w:fldCharType="begin"/>
      </w:r>
      <w:r>
        <w:instrText xml:space="preserve"> HYPERLINK "https://relaticpanama.org/_journals/index.php/dialogoseducativos/issue/view/6" \h </w:instrText>
      </w:r>
      <w:r>
        <w:fldChar w:fldCharType="separate"/>
      </w:r>
      <w:r>
        <w:rPr>
          <w:b/>
          <w:sz w:val="20"/>
          <w:lang w:val="en-US"/>
        </w:rPr>
        <w:t xml:space="preserve"> </w:t>
      </w:r>
      <w:r>
        <w:rPr>
          <w:b/>
          <w:sz w:val="20"/>
          <w:lang w:val="en-US"/>
        </w:rPr>
        <w:fldChar w:fldCharType="end"/>
      </w:r>
      <w:r>
        <w:rPr>
          <w:rFonts w:ascii="Calibri" w:hAnsi="Calibri" w:eastAsia="Calibri" w:cs="Calibri"/>
          <w:sz w:val="26"/>
          <w:lang w:val="en-US"/>
        </w:rPr>
        <w:t xml:space="preserve"> </w:t>
      </w:r>
    </w:p>
    <w:p w14:paraId="421E8807">
      <w:pPr>
        <w:spacing w:after="0" w:line="259" w:lineRule="auto"/>
        <w:ind w:left="317" w:hanging="10"/>
        <w:jc w:val="left"/>
      </w:pPr>
      <w:r>
        <w:rPr>
          <w:b/>
          <w:sz w:val="20"/>
        </w:rPr>
        <w:t>DOI:</w:t>
      </w:r>
      <w:r>
        <w:fldChar w:fldCharType="begin"/>
      </w:r>
      <w:r>
        <w:instrText xml:space="preserve"> HYPERLINK "https://doi.org/10.5281/zenodo.17692579" \h </w:instrText>
      </w:r>
      <w:r>
        <w:fldChar w:fldCharType="separate"/>
      </w:r>
      <w:r>
        <w:rPr>
          <w:b/>
          <w:sz w:val="20"/>
        </w:rPr>
        <w:t xml:space="preserve"> </w:t>
      </w:r>
      <w:r>
        <w:rPr>
          <w:b/>
          <w:sz w:val="20"/>
        </w:rPr>
        <w:fldChar w:fldCharType="end"/>
      </w:r>
      <w:r>
        <w:t xml:space="preserve"> </w:t>
      </w:r>
    </w:p>
    <w:p w14:paraId="28553F19">
      <w:pPr>
        <w:spacing w:after="0" w:line="259" w:lineRule="auto"/>
        <w:ind w:left="0" w:firstLine="0"/>
        <w:jc w:val="left"/>
      </w:pPr>
      <w:r>
        <w:rPr>
          <w:rFonts w:ascii="Calibri" w:hAnsi="Calibri" w:eastAsia="Calibri" w:cs="Calibri"/>
          <w:sz w:val="26"/>
        </w:rPr>
        <w:t xml:space="preserve"> </w:t>
      </w:r>
    </w:p>
    <w:p w14:paraId="696271A7">
      <w:pPr>
        <w:spacing w:after="69" w:line="259" w:lineRule="auto"/>
        <w:ind w:left="0" w:firstLine="0"/>
        <w:jc w:val="left"/>
      </w:pPr>
      <w:r>
        <w:rPr>
          <w:rFonts w:ascii="Calibri" w:hAnsi="Calibri" w:eastAsia="Calibri" w:cs="Calibri"/>
          <w:sz w:val="26"/>
        </w:rPr>
        <w:t xml:space="preserve"> </w:t>
      </w:r>
    </w:p>
    <w:p w14:paraId="00AF1021">
      <w:pPr>
        <w:pStyle w:val="2"/>
        <w:numPr>
          <w:ilvl w:val="0"/>
          <w:numId w:val="0"/>
        </w:numPr>
        <w:spacing w:after="226"/>
      </w:pPr>
      <w:r>
        <w:t xml:space="preserve">Resumen </w:t>
      </w:r>
    </w:p>
    <w:p w14:paraId="063031F0">
      <w:pPr>
        <w:spacing w:after="114"/>
        <w:ind w:left="309" w:right="63" w:firstLine="0"/>
        <w:rPr>
          <w:bCs/>
        </w:rPr>
      </w:pPr>
      <w:r>
        <w:rPr>
          <w:bCs/>
        </w:rPr>
        <w:t>La pandemia por COVID-19 representó para Panamá una disrupción educativa sin precedentes. El presente artículo tiene como objetivo analizar el impacto de la pandemia COVID-19 en los estudiantes de educación superior en Panamá, identificando las principales afectaciones en el rendimiento académico, la salud mental, el acceso tecnológico y la continuidad educativa. Se busca determinar qué estrategias institucionales resultaron más efectivas para mitigar dichos impactos, con el fin de proponer recomendaciones contextualizadas y sostenibles para la educación post-pandemia. La investigación se desarrolló mediante una revisión sistemática cualitativa y documental, siguiendo criterios de inclusión de literatura científica, informes oficiales y normativas publicadas entre 2019 y 2023. Se consultaron bases de datos académicas y documentos institucionales relevantes. Los métodos incluyeron análisis de contenido, categorización temática y síntesis interpretativa. Los instrumentos fueron matrices de análisis cualitativo y guías de clasificación. Los materiales comprendieron artículos revisados por pares, informes nacionales (Meduca, UDELAS, UP, UTP) y normativas internacionales (ONU, UNESCO, OPS). Los participantes indirectos fueron los autores e instituciones de los estudios revisados, mientras que el contexto se circunscribió a universidades públicas y privadas de Panamá y experiencias internacionales comparadas. Los resultados evidencian que la pandemia generó interrupciones severas en la modalidad presencial, obligando a una transición abrupta hacia la educación virtual, con impactos negativos en el rendimiento académico, la salud emocional y el acceso equitativo a la tecnología. No obstante, también se identificaron respuestas institucionales positivas como la flexibilización curricular, el apoyo psicosocial y la provisión de recursos digitales. Se concluye que la efectividad de la respuesta educativa dependió de un enfoque integral que articulara políticas inclusivas, infraestructura tecnológica y acompañamiento socioemocional. Se recomienda fortalecer la educación híbrida, ampliar la conectividad digital y garantizar la salud mental del estudiantado para promover una recuperación educativa equitativa y sostenible.</w:t>
      </w:r>
    </w:p>
    <w:p w14:paraId="51043848">
      <w:pPr>
        <w:spacing w:after="114"/>
        <w:ind w:left="309" w:right="63" w:firstLine="0"/>
      </w:pPr>
      <w:r>
        <w:rPr>
          <w:b/>
        </w:rPr>
        <w:t>Palabras clave: Brecha digital, COVID-19, educación superior, pandemia, rendimiento académico, salud mental.</w:t>
      </w:r>
    </w:p>
    <w:p w14:paraId="29EFFC85">
      <w:pPr>
        <w:spacing w:after="235" w:line="259" w:lineRule="auto"/>
        <w:ind w:left="324" w:firstLine="0"/>
        <w:jc w:val="left"/>
      </w:pPr>
      <w:r>
        <w:rPr>
          <w:b/>
        </w:rPr>
        <w:t xml:space="preserve"> </w:t>
      </w:r>
    </w:p>
    <w:p w14:paraId="76B75666">
      <w:pPr>
        <w:pStyle w:val="2"/>
        <w:numPr>
          <w:ilvl w:val="0"/>
          <w:numId w:val="0"/>
        </w:numPr>
        <w:spacing w:after="72"/>
        <w:ind w:left="654"/>
        <w:rPr>
          <w:lang w:val="en-US"/>
        </w:rPr>
      </w:pPr>
      <w:r>
        <w:rPr>
          <w:lang w:val="en-US"/>
        </w:rPr>
        <w:t xml:space="preserve">Abstract </w:t>
      </w:r>
    </w:p>
    <w:p w14:paraId="5BB9EC71">
      <w:pPr>
        <w:spacing w:after="117"/>
        <w:ind w:left="734" w:right="63" w:hanging="425"/>
        <w:rPr>
          <w:b/>
          <w:lang w:val="en-US"/>
        </w:rPr>
      </w:pPr>
      <w:r>
        <w:rPr>
          <w:bCs/>
          <w:lang w:val="en-US"/>
        </w:rPr>
        <w:t>The COVID-19 pandemic represented an unprecedented educational disruption for Panama. This article aims to analyze the impact of the COVID-19 pandemic on higher education students in Panama, identifying the main effects on academic performance, mental health, technological access, and educational continuity. It seeks to determine which institutional strategies were most effective in mitigating these impacts, in order to propose contextualized and sustainable recommendations for post-pandemic education. The research was developed through a qualitative and documentary systematic review, following inclusion criteria of scientific literature, official reports and regulations published between 2019 and 2023. Academic databases and relevant institutional documents were consulted. The methods included content analysis, thematic categorization, and interpretive synthesis. The instruments were qualitative analysis matrices and classification guides. The materials included peer-reviewed articles, national reports (Meduca, UDELAS, UP, UTP) and international standards (UN, UNESCO, PAHO). The indirect participants were the authors and institutions of the studies reviewed, while the context was limited to public and private universities in Panama and comparative international experiences. The results show that the pandemic generated severe interruptions in the face-to-face modality, forcing an abrupt transition to virtual education, with negative impacts on academic performance, emotional health, and equitable access to technology. However, positive institutional responses such as curricular flexibility, psychosocial support and the provision of digital resources were also identified. It is concluded that the effectiveness of the educational response depended on a comprehensive approach that articulated inclusive policies, technological infrastructure, and socio-emotional support. It is recommended to strengthen hybrid education, expand digital connectivity and guarantee the mental health of students to promote an equitable and sustainable educational recovery</w:t>
      </w:r>
      <w:r>
        <w:rPr>
          <w:b/>
          <w:lang w:val="en-US"/>
        </w:rPr>
        <w:t>.</w:t>
      </w:r>
    </w:p>
    <w:p w14:paraId="019A7A3F">
      <w:pPr>
        <w:spacing w:after="117"/>
        <w:ind w:left="734" w:right="63" w:hanging="425"/>
        <w:rPr>
          <w:b/>
          <w:bCs/>
          <w:lang w:val="en-US"/>
        </w:rPr>
      </w:pPr>
      <w:r>
        <w:rPr>
          <w:b/>
          <w:lang w:val="en-US"/>
        </w:rPr>
        <w:t>Keywords:</w:t>
      </w:r>
      <w:r>
        <w:rPr>
          <w:lang w:val="en-US"/>
        </w:rPr>
        <w:t xml:space="preserve"> Digital divide, COVID-19, higher education, pandemic, academic performance, mental health.</w:t>
      </w:r>
    </w:p>
    <w:p w14:paraId="016A868B">
      <w:pPr>
        <w:spacing w:after="117"/>
        <w:ind w:left="734" w:right="63" w:hanging="425"/>
        <w:rPr>
          <w:lang w:val="en-US"/>
        </w:rPr>
      </w:pPr>
    </w:p>
    <w:p w14:paraId="6EB8384B">
      <w:pPr>
        <w:spacing w:after="230" w:line="259" w:lineRule="auto"/>
        <w:ind w:left="322" w:firstLine="0"/>
        <w:jc w:val="left"/>
        <w:rPr>
          <w:lang w:val="en-US"/>
        </w:rPr>
      </w:pPr>
      <w:r>
        <w:rPr>
          <w:lang w:val="en-US"/>
        </w:rPr>
        <w:t xml:space="preserve"> </w:t>
      </w:r>
    </w:p>
    <w:p w14:paraId="2C547F1F">
      <w:pPr>
        <w:pStyle w:val="2"/>
        <w:numPr>
          <w:ilvl w:val="0"/>
          <w:numId w:val="0"/>
        </w:numPr>
        <w:spacing w:after="226"/>
      </w:pPr>
      <w:r>
        <w:t xml:space="preserve">Introducción </w:t>
      </w:r>
    </w:p>
    <w:p w14:paraId="44E8FBCE">
      <w:pPr>
        <w:spacing w:after="357"/>
        <w:ind w:left="309" w:right="63"/>
      </w:pPr>
      <w:r>
        <w:t>.</w:t>
      </w:r>
      <w:r>
        <w:rPr>
          <w:rFonts w:ascii="Times New Roman" w:hAnsi="Times New Roman" w:eastAsia="Times New Roman" w:cs="Times New Roman"/>
          <w:kern w:val="0"/>
          <w:sz w:val="22"/>
          <w:szCs w:val="22"/>
          <w14:ligatures w14:val="none"/>
        </w:rPr>
        <w:t xml:space="preserve"> </w:t>
      </w:r>
      <w:r>
        <w:t>La irrupción de la pandemia por COVID-19 a inicios del año 2020 constituyó uno de los mayores desafíos que ha enfrentado el sistema educativo mundial en las últimas décadas. En el caso de Panamá, las medidas de cuarentena decretadas por el gobierno nacional a partir del 13 de marzo de 2020 obligaron al cierre inmediato de todas las instituciones educativas, incluidas las universidades públicas y privadas del país, impactando a más de 180,000 estudiantes matriculados en el nivel superior (Meduca, 2020).</w:t>
      </w:r>
    </w:p>
    <w:p w14:paraId="3910F3D0">
      <w:pPr>
        <w:spacing w:after="357"/>
        <w:ind w:left="309" w:right="63"/>
      </w:pPr>
      <w:r>
        <w:t xml:space="preserve">A nivel internacional, diversos estudios recientes evidencian que la pandemia no solo interrumpió la continuidad académica, sino que también agravó desigualdades preexistentes en el acceso a la educación, especialmente en poblaciones con menor acceso a tecnología, conectividad o espacios adecuados de estudio. </w:t>
      </w:r>
    </w:p>
    <w:p w14:paraId="5A665491">
      <w:pPr>
        <w:spacing w:after="357"/>
        <w:ind w:left="309" w:right="63"/>
        <w:rPr>
          <w:b/>
          <w:bCs/>
        </w:rPr>
      </w:pPr>
      <w:r>
        <w:rPr>
          <w:b/>
          <w:bCs/>
        </w:rPr>
        <w:t xml:space="preserve"> </w:t>
      </w:r>
    </w:p>
    <w:p w14:paraId="5D5264CC">
      <w:pPr>
        <w:spacing w:after="357"/>
        <w:ind w:left="309" w:right="63"/>
        <w:rPr>
          <w:b/>
          <w:bCs/>
        </w:rPr>
      </w:pPr>
    </w:p>
    <w:p w14:paraId="217D48FE">
      <w:pPr>
        <w:spacing w:after="357"/>
        <w:ind w:left="309" w:right="63"/>
        <w:rPr>
          <w:b/>
          <w:bCs/>
        </w:rPr>
      </w:pPr>
    </w:p>
    <w:p w14:paraId="22C72EFF">
      <w:pPr>
        <w:spacing w:after="357"/>
        <w:ind w:left="309" w:right="63"/>
        <w:rPr>
          <w:b/>
          <w:bCs/>
        </w:rPr>
      </w:pPr>
      <w:r>
        <w:rPr>
          <w:b/>
          <w:bCs/>
        </w:rPr>
        <w:t>Figura 1</w:t>
      </w:r>
    </w:p>
    <w:p w14:paraId="4E62AAD4">
      <w:pPr>
        <w:spacing w:after="357"/>
        <w:ind w:left="309" w:right="63"/>
        <w:rPr>
          <w:b/>
          <w:bCs/>
        </w:rPr>
      </w:pPr>
      <w:r>
        <w:drawing>
          <wp:inline distT="0" distB="0" distL="0" distR="0">
            <wp:extent cx="2571750" cy="1419225"/>
            <wp:effectExtent l="0" t="0" r="0" b="9525"/>
            <wp:docPr id="42090571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905710" name="Imagen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71750" cy="1419225"/>
                    </a:xfrm>
                    <a:prstGeom prst="rect">
                      <a:avLst/>
                    </a:prstGeom>
                    <a:noFill/>
                    <a:ln>
                      <a:noFill/>
                    </a:ln>
                  </pic:spPr>
                </pic:pic>
              </a:graphicData>
            </a:graphic>
          </wp:inline>
        </w:drawing>
      </w:r>
      <w:r>
        <w:rPr>
          <w:b/>
          <w:bCs/>
        </w:rPr>
        <w:t xml:space="preserve"> </w:t>
      </w:r>
    </w:p>
    <w:p w14:paraId="5171D302">
      <w:pPr>
        <w:spacing w:after="357"/>
        <w:ind w:left="309" w:right="63"/>
      </w:pPr>
      <w:r>
        <w:t>Diversos sistema de adaptaciones al acceso a la educaci   se presentaron durante la pandemia.</w:t>
      </w:r>
    </w:p>
    <w:p w14:paraId="16B8D12A">
      <w:pPr>
        <w:spacing w:after="357"/>
        <w:ind w:left="309" w:right="63"/>
      </w:pPr>
      <w:r>
        <w:t>En el contexto panameño, persiste una brecha significativa entre las políticas de emergencia adoptadas y la capacidad real de las instituciones para garantizar una educación virtual de calidad, equitativa y emocionalmente sostenible para todos los estudiantes. La investigación actual revela que, si bien Panamá adoptó con relativa rapidez plataformas virtuales y disposiciones normativas de emergencia, todavía se enfrentan obstáculos importantes relacionados con la desigualdad en el acceso digital, la falta de preparación docente en entornos virtuales y el deterioro de la salud mental estudiantil. La ausencia de programas que integren acompañamiento socioemocional, habilidades digitales y estrategias pedagógicas adaptadas limitó significativamente el impacto de los esfuerzos institucionales realizados.</w:t>
      </w:r>
    </w:p>
    <w:p w14:paraId="4B3CFF24">
      <w:pPr>
        <w:spacing w:after="357"/>
        <w:ind w:left="309" w:right="63"/>
      </w:pPr>
      <w:r>
        <w:t>De este modo, la investigación se guía por la siguiente pregunta reflexiva: ¿Cuáles son los principales impactos de la pandemia COVID-19 en los estudiantes de educación superior en Panamá y qué estrategias demostraron mayor efectividad para mitigar dichos efectos? Para abordar esta cuestión, el análisis se enmarca teóricamente en el Modelo de Resiliencia Educativa, que postula que las instituciones y los estudiantes poseen capacidades de adaptación frente a crisis, siempre que cuenten con apoyos estructurales adecuados. Este marco se complementa con los principios del Enfoque de Equidad Educativa, que prioriza la reducción de brechas de acceso y la garantía de condiciones mínimas de aprendizaje para todos los estudiantes, independientemente de su contexto socioeconómico.</w:t>
      </w:r>
    </w:p>
    <w:p w14:paraId="7E14DB78">
      <w:pPr>
        <w:spacing w:after="357"/>
        <w:ind w:left="309" w:right="63"/>
      </w:pPr>
      <w:r>
        <w:t>Este escenario evidencia la urgente necesidad de fortalecer las políticas públicas y las prácticas educativas para construir sistemas más resilientes y equitativos. La presente investigación tiene como objetivo principal analizar el impacto de la pandemia COVID-19 en los estudiantes de educación superior en Panamá, identificando sus principales dimensiones de afectación, barreras y respuestas institucionales, con el fin de proponer estrategias que contribuyan a una recuperación educativa efectiva e inclusiva. Específicamente, se busca responder a las siguientes preguntas: ¿Qué dimensiones resultaron más afectadas en el estudiantado universitario? ¿Qué estrategias institucionales mitigaron mejor los impactos? y ¿Cuáles son las acciones prioritarias para fortalecer la educación superior post-pandemia en Panamá? La relevancia de este estudio radica en su potencial para informar a actores políticos, educativos y sociales, facilitando la adopción de prácticas y políticas basadas en evidencia que permitan construir un sistema de educación superior más justo, inclusivo y preparado para enfrentar futuras crisis.</w:t>
      </w:r>
    </w:p>
    <w:p w14:paraId="0134912B">
      <w:pPr>
        <w:spacing w:after="357"/>
        <w:ind w:left="309" w:right="63"/>
      </w:pPr>
      <w:r>
        <w:t xml:space="preserve"> </w:t>
      </w:r>
    </w:p>
    <w:p w14:paraId="208E3A40">
      <w:pPr>
        <w:spacing w:after="357"/>
        <w:ind w:left="309" w:right="63"/>
      </w:pPr>
    </w:p>
    <w:p w14:paraId="1CBA4F32">
      <w:pPr>
        <w:spacing w:after="357"/>
        <w:ind w:left="309" w:right="63"/>
      </w:pPr>
    </w:p>
    <w:p w14:paraId="58B1DACA">
      <w:pPr>
        <w:spacing w:after="357"/>
        <w:ind w:left="309" w:right="63"/>
        <w:rPr>
          <w:b/>
          <w:bCs/>
        </w:rPr>
      </w:pPr>
      <w:r>
        <w:rPr>
          <w:b/>
          <w:bCs/>
        </w:rPr>
        <w:t>Fundamentación teórica o marco conceptual</w:t>
      </w:r>
    </w:p>
    <w:p w14:paraId="54B101D2">
      <w:pPr>
        <w:spacing w:after="357"/>
        <w:ind w:right="63"/>
        <w:rPr>
          <w:b/>
          <w:bCs/>
        </w:rPr>
      </w:pPr>
      <w:r>
        <w:rPr>
          <w:b/>
          <w:bCs/>
        </w:rPr>
        <w:t>Conceptualizaciones clave</w:t>
      </w:r>
    </w:p>
    <w:p w14:paraId="259FC443">
      <w:pPr>
        <w:spacing w:after="357"/>
        <w:ind w:left="309" w:right="63"/>
      </w:pPr>
      <w:r>
        <w:rPr>
          <w:b/>
          <w:bCs/>
        </w:rPr>
        <w:t xml:space="preserve">Pandemia por COVID-19: </w:t>
      </w:r>
      <w:r>
        <w:t>Emergencia sanitaria mundial declarada por la OMS el 11 de marzo de 2020, causada por el virus SARS-CoV-2. En el ámbito educativo panameño, implicó el cierre masivo de instituciones y la transición forzada hacia modalidades no presenciales, afectando la continuidad académica, la salud mental del estudiantado y la equidad en el acceso a la educación (OPS, 2020).</w:t>
      </w:r>
    </w:p>
    <w:p w14:paraId="7D38F230">
      <w:pPr>
        <w:spacing w:after="357"/>
        <w:ind w:left="309" w:right="63"/>
      </w:pPr>
      <w:r>
        <w:rPr>
          <w:b/>
          <w:bCs/>
        </w:rPr>
        <w:t xml:space="preserve">Educación superior en emergencia. </w:t>
      </w:r>
      <w:r>
        <w:t>Modalidad de respuesta educativa caracterizada por la adopción acelerada de herramientas virtuales, la flexibilización curricular y el rediseño de procesos evaluativos ante situaciones de crisis. Implica una reorganización institucional urgente que no siempre garantiza la calidad pedagógica ni la equidad en el acceso (Hodges et al., 2020).</w:t>
      </w:r>
    </w:p>
    <w:p w14:paraId="0CB00FF4">
      <w:pPr>
        <w:spacing w:after="357"/>
        <w:ind w:left="309" w:right="63"/>
      </w:pPr>
      <w:r>
        <w:rPr>
          <w:b/>
          <w:bCs/>
        </w:rPr>
        <w:t xml:space="preserve">Brecha digital. </w:t>
      </w:r>
      <w:r>
        <w:t>Desigualdad en el acceso, uso y aprovechamiento de las tecnologías de la información y la comunicación (TIC). En el contexto panameño, esta brecha se manifestó en la falta de dispositivos, conectividad y competencias digitales en sectores estudiantiles de menores recursos, profundizando las desigualdades educativas preexistentes.</w:t>
      </w:r>
    </w:p>
    <w:p w14:paraId="5960C880">
      <w:pPr>
        <w:spacing w:after="357"/>
        <w:ind w:left="309" w:right="63"/>
      </w:pPr>
      <w:r>
        <w:rPr>
          <w:b/>
          <w:bCs/>
        </w:rPr>
        <w:t xml:space="preserve">Salud mental estudiantil. </w:t>
      </w:r>
      <w:r>
        <w:t>Estado de bienestar psicológico y emocional del estudiante que influye directamente en su desempeño académico, relaciones interpersonales y calidad de vida. La pandemia incrementó significativamente los niveles de ansiedad, depresión y estrés en el estudiantado universitario panameño y a nivel global.</w:t>
      </w:r>
    </w:p>
    <w:p w14:paraId="70F8AD90">
      <w:pPr>
        <w:spacing w:after="357"/>
        <w:ind w:left="309" w:right="63"/>
      </w:pPr>
      <w:r>
        <w:rPr>
          <w:b/>
          <w:bCs/>
        </w:rPr>
        <w:t xml:space="preserve">Resiliencia educativa. </w:t>
      </w:r>
      <w:r>
        <w:t>Capacidad de estudiantes, docentes e instituciones educativas para adaptarse, recuperarse y crecer a partir de situaciones adversas. Depende de factores individuales (autoeficacia, motivación) e institucionales (apoyos, recursos, liderazgo) que interactúan dinámicamente durante y después de la crisis.</w:t>
      </w:r>
    </w:p>
    <w:p w14:paraId="467CEDAB">
      <w:pPr>
        <w:spacing w:after="357"/>
        <w:ind w:left="309" w:right="63"/>
      </w:pPr>
    </w:p>
    <w:p w14:paraId="41B68FF7">
      <w:pPr>
        <w:spacing w:after="357"/>
        <w:ind w:left="309" w:right="63"/>
        <w:rPr>
          <w:b/>
          <w:bCs/>
        </w:rPr>
      </w:pPr>
      <w:r>
        <w:rPr>
          <w:b/>
          <w:bCs/>
        </w:rPr>
        <w:t>Enfoques teóricos que sustentan la transición y la habilitación</w:t>
      </w:r>
    </w:p>
    <w:p w14:paraId="13BDBE37">
      <w:pPr>
        <w:spacing w:after="357"/>
        <w:ind w:left="309" w:right="63"/>
      </w:pPr>
      <w:r>
        <w:t>La comprensión del impacto de la pandemia en la educación superior requiere de marcos teóricos que articulen las dimensiones individual, institucional y sistémica del fenómeno.</w:t>
      </w:r>
    </w:p>
    <w:p w14:paraId="71370265">
      <w:pPr>
        <w:spacing w:after="357"/>
        <w:ind w:left="309" w:right="63"/>
      </w:pPr>
      <w:r>
        <w:rPr>
          <w:b/>
          <w:bCs/>
        </w:rPr>
        <w:t xml:space="preserve">El Modelo de Enseñanza Remota de Emergencia (ERT). </w:t>
      </w:r>
      <w:r>
        <w:t>Propuesto por Hodges et al. (2020), distingue la educación en línea planificada del aprendizaje remoto de emergencia adoptado durante la pandemia. Señala que la ERT no equivale a educación en línea de calidad, ya que se implementa de manera reactiva, sin la infraestructura, formación docente ni diseño instruccional adecuados. Su implicación para el estudio es central: los resultados académicos observados durante la pandemia deben evaluarse bajo este marco, reconociendo las limitaciones estructurales del contexto.</w:t>
      </w:r>
    </w:p>
    <w:p w14:paraId="6663C24B">
      <w:pPr>
        <w:spacing w:after="357"/>
        <w:ind w:left="309" w:right="63"/>
      </w:pPr>
      <w:r>
        <w:rPr>
          <w:b/>
          <w:bCs/>
        </w:rPr>
        <w:t xml:space="preserve">Teoría de la Carga Cognitiva (Sweller, 1988). </w:t>
      </w:r>
      <w:r>
        <w:t>Sostiene que el aprendizaje se ve comprometido cuando la demanda cognitiva supera la capacidad de procesamiento del estudiante. Durante la pandemia, factores como el estrés, la incertidumbre, los problemas de conectividad y la sobrecarga informativa incrementaron la carga cognitiva extraña, reduciendo el aprendizaje efectivo. Esta teoría fundamenta la necesidad de diseños instruccionales simplificados y pedagógicamente coherentes en entornos virtuales de emergencia.</w:t>
      </w:r>
    </w:p>
    <w:p w14:paraId="1C219CC7">
      <w:pPr>
        <w:spacing w:after="357"/>
        <w:ind w:left="309" w:right="63"/>
      </w:pPr>
      <w:r>
        <w:rPr>
          <w:b/>
          <w:bCs/>
        </w:rPr>
        <w:t xml:space="preserve">Modelo Ecológico de Bronfenbrenner. </w:t>
      </w:r>
      <w:r>
        <w:t>La pandemia afectó simultáneamente todos los sistemas que rodean al estudiante universitario: el microsistema (familia, aula virtual), el mesosistema (relación entre institución y hogar), el exosistema (políticas de conectividad, empleo de los padres) y el macrosistema (normas culturales, legislación de emergencia). Este modelo es fundamental para comprender por qué el impacto fue diferenciado según el contexto socioeconómico, geográfico y familiar del estudiante.</w:t>
      </w:r>
    </w:p>
    <w:p w14:paraId="5088367D">
      <w:pPr>
        <w:spacing w:after="357"/>
        <w:ind w:left="309" w:right="63"/>
      </w:pPr>
      <w:r>
        <w:rPr>
          <w:b/>
          <w:bCs/>
        </w:rPr>
        <w:t xml:space="preserve">Enfoque de Derechos Humanos en la Educación. </w:t>
      </w:r>
      <w:r>
        <w:t>Fundamentado en la Declaración Universal de Derechos Humanos y la Convención sobre los Derechos de las Personas con Discapacidad (ONU), este enfoque evalúa en qué medida las respuestas institucionales garantizaron el derecho a la educación de todos los estudiantes, con énfasis en los grupos más vulnerables. Bajo esta óptica, la pandemia expuso fallas estructurales en el sistema educativo panameño que comprometieron el ejercicio pleno de este derecho.</w:t>
      </w:r>
    </w:p>
    <w:p w14:paraId="149F3C18">
      <w:pPr>
        <w:spacing w:after="357"/>
        <w:ind w:left="309" w:right="63"/>
      </w:pPr>
      <w:r>
        <w:t xml:space="preserve"> </w:t>
      </w:r>
    </w:p>
    <w:p w14:paraId="3BD120A9">
      <w:pPr>
        <w:spacing w:after="357"/>
        <w:ind w:left="309" w:right="63"/>
        <w:rPr>
          <w:b/>
          <w:bCs/>
        </w:rPr>
      </w:pPr>
      <w:r>
        <w:rPr>
          <w:b/>
          <w:bCs/>
        </w:rPr>
        <w:t>Teorías sobre la Transición a la Vida Adulta</w:t>
      </w:r>
    </w:p>
    <w:p w14:paraId="60DED938">
      <w:pPr>
        <w:spacing w:after="357"/>
        <w:ind w:left="309" w:right="63"/>
      </w:pPr>
      <w:r>
        <w:rPr>
          <w:b/>
          <w:bCs/>
        </w:rPr>
        <w:t xml:space="preserve">Teoría de la Transición de Schlossberg. </w:t>
      </w:r>
      <w:r>
        <w:t>Analiza cómo los individuos enfrentan transiciones disruptivas mediante cuatro recursos: Situación (el contexto del cambio), Sí mismo (fortalezas personales), Apoyos (redes de soporte) y Estrategias (mecanismos de afrontamiento). Aplicada al contexto pandémico, esta teoría permite evaluar si las instituciones universitarias panameñas fortalecieron los recursos de afrontamiento del estudiantado o si, por el contrario, los dejaron afrontar solos la transición hacia la virtualidad.</w:t>
      </w:r>
    </w:p>
    <w:p w14:paraId="604033C6">
      <w:pPr>
        <w:spacing w:after="357"/>
        <w:ind w:left="309" w:right="63"/>
      </w:pPr>
      <w:r>
        <w:rPr>
          <w:b/>
          <w:bCs/>
        </w:rPr>
        <w:t xml:space="preserve">Teoría Social Cognitiva de Bandura. </w:t>
      </w:r>
      <w:r>
        <w:t>La percepción de autoeficacia del estudiante, su creencia en la propia capacidad para alcanzar metas académicas, resultó determinante durante la pandemia. Los estudiantes con alta autoeficacia mostraron mayor adaptabilidad a las modalidades virtuales. Las instituciones que implementaron estrategias de retroalimentación positiva, mentoría y acompañamiento fortalecieron este factor protector.</w:t>
      </w:r>
    </w:p>
    <w:p w14:paraId="1A0F2B7E">
      <w:pPr>
        <w:spacing w:after="357"/>
        <w:ind w:left="309" w:right="63"/>
      </w:pPr>
      <w:r>
        <w:rPr>
          <w:b/>
          <w:bCs/>
        </w:rPr>
        <w:t xml:space="preserve">Modelo de Aceptación Tecnológica (Davis, 1989). </w:t>
      </w:r>
      <w:r>
        <w:t>Propone que la adopción de tecnología depende de la percepción de utilidad y facilidad de uso. Durante la pandemia, muchos estudiantes y docentes panameños enfrentaron barreras de aceptación tecnológica derivadas de la falta de experiencia previa con plataformas digitales, lo que impactó negativamente la efectividad del aprendizaje virtual de emergencia.</w:t>
      </w:r>
    </w:p>
    <w:p w14:paraId="53043E37">
      <w:pPr>
        <w:spacing w:after="357"/>
        <w:ind w:left="309" w:right="63"/>
      </w:pPr>
      <w:r>
        <w:t xml:space="preserve"> </w:t>
      </w:r>
    </w:p>
    <w:p w14:paraId="64D39BB8">
      <w:pPr>
        <w:spacing w:after="357"/>
        <w:ind w:left="309" w:right="63"/>
        <w:rPr>
          <w:b/>
          <w:bCs/>
        </w:rPr>
      </w:pPr>
      <w:r>
        <w:rPr>
          <w:b/>
          <w:bCs/>
        </w:rPr>
        <w:t>Metodología</w:t>
      </w:r>
    </w:p>
    <w:p w14:paraId="2509D696">
      <w:pPr>
        <w:spacing w:after="357"/>
        <w:ind w:left="309" w:right="63"/>
      </w:pPr>
      <w:r>
        <w:t>Esta investigación adopta un enfoque de revisión sistemática cualitativa, siguiendo las directrices establecidas para estudios de carácter predominantemente documental o bibliográfico, orientado a analizar exhaustivamente la literatura existente y las normativas relacionadas con el impacto de la pandemia COVID-19 en los estudiantes de educación superior en Panamá. La finalidad es identificar los principales efectos documentados en el rendimiento académico, la salud mental, el acceso tecnológico y la continuidad educativa, así como las estrategias institucionales y políticas implementadas en respuesta a la crisis, mediante un proceso de categorización y comparación temática. La revisión no contempla análisis estadístico cuantitativo, sino que se basa en la interpretación cualitativa de la información extraída.</w:t>
      </w:r>
    </w:p>
    <w:p w14:paraId="0579EBD2">
      <w:pPr>
        <w:spacing w:after="357"/>
        <w:ind w:left="309" w:right="63"/>
        <w:rPr>
          <w:b/>
          <w:bCs/>
          <w:i/>
          <w:iCs/>
        </w:rPr>
      </w:pPr>
      <w:r>
        <w:rPr>
          <w:b/>
          <w:bCs/>
          <w:i/>
          <w:iCs/>
        </w:rPr>
        <w:t xml:space="preserve"> </w:t>
      </w:r>
    </w:p>
    <w:p w14:paraId="31589B07">
      <w:pPr>
        <w:spacing w:after="357"/>
        <w:ind w:left="309" w:right="63"/>
      </w:pPr>
      <w:r>
        <w:rPr>
          <w:b/>
          <w:bCs/>
          <w:i/>
          <w:iCs/>
        </w:rPr>
        <w:t>Criterios de selección de la población de estudios</w:t>
      </w:r>
    </w:p>
    <w:p w14:paraId="2F4016D0">
      <w:pPr>
        <w:spacing w:after="357"/>
        <w:ind w:left="309" w:right="63"/>
      </w:pPr>
      <w:r>
        <w:t>La población objeto de revisión la constituyen los documentos académicos y normativos publicados entre 2019 y 2023, período que abarca el inicio de la pandemia y su fase de recuperación. Estos incluyen artículos científicos, informes de evaluación, guías pedagógicas, decretos ejecutivos y reportes institucionales que aborden el impacto del COVID-19 en la educación superior panameña o en contextos latinoamericanos comparables.</w:t>
      </w:r>
    </w:p>
    <w:p w14:paraId="48B7F70A">
      <w:pPr>
        <w:spacing w:after="357"/>
        <w:ind w:left="309" w:right="63"/>
      </w:pPr>
      <w:r>
        <w:rPr>
          <w:b/>
          <w:bCs/>
        </w:rPr>
        <w:t xml:space="preserve">En cuanto a los criterios de inclusión: </w:t>
      </w:r>
      <w:r>
        <w:t>abarcan estudios que describen o analizan el impacto de la pandemia COVID-19 en estudiantes universitarios. Documentos que presentan estrategias de respuesta institucional, resultados académicos o afectaciones socioemocionales. Artículos revisados por pares, informes oficiales de organismos nacionales e internacionales.</w:t>
      </w:r>
    </w:p>
    <w:p w14:paraId="548D0D6D">
      <w:pPr>
        <w:spacing w:after="357"/>
        <w:ind w:left="309" w:right="63"/>
      </w:pPr>
      <w:r>
        <w:rPr>
          <w:b/>
          <w:bCs/>
        </w:rPr>
        <w:t xml:space="preserve">Con relación a los criterios de exclusión: </w:t>
      </w:r>
      <w:r>
        <w:t>se excluyen estudios que no abordan específicamente el nivel de educación superior. Documentos anteriores a 2019 o en idiomas distintos al español e inglés. Materiales no accesibles en versión completa o con deficiencias metodológicas evidentes.</w:t>
      </w:r>
    </w:p>
    <w:p w14:paraId="424903C9">
      <w:pPr>
        <w:spacing w:after="357"/>
        <w:ind w:left="309" w:right="63"/>
      </w:pPr>
      <w:r>
        <w:t>El método de análisis aplicado fue una estrategia de análisis de contenido complementada por comparaciones teóricas y una síntesis interpretativa. Se sistematizaron y categorizaron los principales impactos, respuestas institucionales y factores mediadores presentes en las fuentes revisadas, identificando patrones, similitudes y diferencias relevantes entre el contexto panameño y experiencias internacionales. Este procedimiento permitió elaborar una comprensión crítica y profunda de las dimensiones que determinaron la magnitud del impacto pandémico y la efectividad de las estrategias de respuesta.</w:t>
      </w:r>
    </w:p>
    <w:p w14:paraId="06231329">
      <w:pPr>
        <w:spacing w:after="357"/>
        <w:ind w:left="309" w:right="63"/>
      </w:pPr>
      <w:r>
        <w:t>En cuanto a variables y categorías de análisis, la extracción de información se centró en identificar y categorizar las principales dimensiones de impacto mediante variables conceptuales como: rendimiento académico y tasas de abandono, acceso a tecnología y conectividad, salud mental y bienestar emocional, estrategias pedagógicas de emergencia implementadas, respuestas institucionales y políticas adoptadas, participación familiar y apoyo socioeconómico, y percepción estudiantil y docente sobre la virtualidad. Estas categorías permitieron realizar un análisis temático, identificando patrones y divergencias en la literatura revisada.</w:t>
      </w:r>
    </w:p>
    <w:p w14:paraId="0AA2B6E8">
      <w:pPr>
        <w:spacing w:after="357"/>
        <w:ind w:left="309" w:right="63"/>
      </w:pPr>
      <w:r>
        <w:t>El análisis de los datos fue de carácter cualitativo, basado en la codificación temática y comparación interpretativa. Cada estudio se revisó minuciosamente para extraer los principales hallazgos relacionados con los aspectos antes mencionados. Posteriormente, se realizó una síntesis narrativa, destacando las tendencias, fortalezas, deficiencias y barreras comunes en las respuestas educativas ante la pandemia, con énfasis en el contexto panameño y comparando con modelos internacionales.</w:t>
      </w:r>
    </w:p>
    <w:p w14:paraId="1F4F9FCD">
      <w:pPr>
        <w:spacing w:after="357"/>
        <w:ind w:left="309" w:right="63"/>
      </w:pPr>
      <w:r>
        <w:t xml:space="preserve"> </w:t>
      </w:r>
    </w:p>
    <w:p w14:paraId="4CB233D1">
      <w:pPr>
        <w:spacing w:after="357"/>
        <w:ind w:left="309" w:right="63"/>
        <w:rPr>
          <w:b/>
          <w:bCs/>
        </w:rPr>
      </w:pPr>
      <w:r>
        <w:rPr>
          <w:b/>
          <w:bCs/>
        </w:rPr>
        <w:t xml:space="preserve"> </w:t>
      </w:r>
    </w:p>
    <w:p w14:paraId="6B7AC98A">
      <w:pPr>
        <w:spacing w:after="357"/>
        <w:ind w:left="309" w:right="63"/>
        <w:rPr>
          <w:b/>
          <w:bCs/>
        </w:rPr>
      </w:pPr>
      <w:r>
        <w:rPr>
          <w:b/>
          <w:bCs/>
        </w:rPr>
        <w:t>Análisis y discusión de resultados</w:t>
      </w:r>
    </w:p>
    <w:p w14:paraId="6092B38F">
      <w:pPr>
        <w:spacing w:after="357"/>
        <w:ind w:left="309" w:right="63"/>
      </w:pPr>
      <w:r>
        <w:t xml:space="preserve"> </w:t>
      </w:r>
    </w:p>
    <w:p w14:paraId="76FF5BAC">
      <w:pPr>
        <w:spacing w:after="357"/>
        <w:ind w:left="309" w:right="63"/>
      </w:pPr>
      <w:r>
        <w:t>Este apartado presenta una sistematización de la información recolectada estructurada en torno a los principales ejes temáticos, complementada con una reflexión crítica contextualizada en la realidad educativa de Panamá, que enfrentó desafíos sin precedentes para garantizar la continuidad de la educación superior durante y después de la pandemia por COVID-19.</w:t>
      </w:r>
    </w:p>
    <w:p w14:paraId="3D6CD6D0">
      <w:pPr>
        <w:spacing w:after="357"/>
        <w:ind w:left="309" w:right="63"/>
      </w:pPr>
      <w:r>
        <w:t xml:space="preserve"> </w:t>
      </w:r>
    </w:p>
    <w:p w14:paraId="1379B0D3">
      <w:pPr>
        <w:spacing w:after="357"/>
        <w:ind w:left="309" w:right="63"/>
        <w:rPr>
          <w:b/>
          <w:bCs/>
          <w:i/>
          <w:iCs/>
        </w:rPr>
      </w:pPr>
      <w:r>
        <w:rPr>
          <w:b/>
          <w:bCs/>
          <w:i/>
          <w:iCs/>
        </w:rPr>
        <w:t>Políticas Educativas y Marco Normativo de Respuesta a la Pandemia</w:t>
      </w:r>
    </w:p>
    <w:p w14:paraId="3E81382A">
      <w:pPr>
        <w:spacing w:after="357"/>
        <w:ind w:left="309" w:right="63"/>
        <w:rPr>
          <w:b/>
          <w:bCs/>
        </w:rPr>
      </w:pPr>
      <w:r>
        <w:rPr>
          <w:b/>
          <w:bCs/>
        </w:rPr>
        <w:t>Figura 2</w:t>
      </w:r>
    </w:p>
    <w:p w14:paraId="7E546EDB">
      <w:pPr>
        <w:spacing w:after="357"/>
        <w:ind w:left="309" w:right="63"/>
      </w:pPr>
      <w:r>
        <w:drawing>
          <wp:inline distT="0" distB="0" distL="0" distR="0">
            <wp:extent cx="2047875" cy="1914525"/>
            <wp:effectExtent l="0" t="0" r="9525" b="9525"/>
            <wp:docPr id="1759001755"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01755" name="Imagen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47875" cy="1914525"/>
                    </a:xfrm>
                    <a:prstGeom prst="rect">
                      <a:avLst/>
                    </a:prstGeom>
                    <a:noFill/>
                    <a:ln>
                      <a:noFill/>
                    </a:ln>
                  </pic:spPr>
                </pic:pic>
              </a:graphicData>
            </a:graphic>
          </wp:inline>
        </w:drawing>
      </w:r>
      <w:r>
        <w:t xml:space="preserve"> </w:t>
      </w:r>
    </w:p>
    <w:p w14:paraId="082DD254">
      <w:pPr>
        <w:spacing w:after="357"/>
        <w:ind w:left="309" w:right="63"/>
      </w:pPr>
      <w:r>
        <w:t>Se gestionaron políticas de adaptación para hacerle                                      frente a las repercusiones de la pandemia</w:t>
      </w:r>
    </w:p>
    <w:p w14:paraId="60EAA346">
      <w:pPr>
        <w:spacing w:after="357"/>
        <w:ind w:left="309" w:right="63"/>
      </w:pPr>
      <w:r>
        <w:t>A nivel internacional, los países que gestionaron mejor el impacto de la pandemia en la educación superior desarrollaron marcos normativos de emergencia ágiles, con inversión en infraestructura digital y protocolos claros de continuidad académica. En Panamá, el gobierno nacional emitió el Decreto Ejecutivo N.º 500 del 24 de marzo de 2020, que declaró el estado de emergencia nacional y autorizó la suspensión de clases presenciales en todos los niveles educativos. Las universidades públicas, como la Universidad de Panamá (UP) y la Universidad Tecnológica de Panamá (UTP), adoptaron con rapidez plataformas de gestión del aprendizaje como Moodle y Google Classroom, aunque con resultados heterogéneos debido a las brechas de capacitación docente y acceso estudiantil.</w:t>
      </w:r>
    </w:p>
    <w:p w14:paraId="2486AE91">
      <w:pPr>
        <w:spacing w:after="357"/>
        <w:ind w:left="309" w:right="63"/>
      </w:pPr>
      <w:r>
        <w:rPr>
          <w:b/>
          <w:bCs/>
        </w:rPr>
        <w:t xml:space="preserve">Comparación: </w:t>
      </w:r>
      <w:r>
        <w:t>La brecha entre la normativa de emergencia y la realidad educativa se reflejó en la desigualdad de condiciones para acceder a la educación virtual. Mientras que algunos estudiantes contaban con dispositivos adecuados y conexión estable, una parte significativa del estudiantado de universidades públicas reportó carecer de ambos. Países como Costa Rica y Chile implementaron programas de subsidio de conectividad y distribución de dispositivos que atenuaron esta brecha de manera más efectiva.</w:t>
      </w:r>
    </w:p>
    <w:p w14:paraId="5DE3A6FF">
      <w:pPr>
        <w:spacing w:after="357"/>
        <w:ind w:left="309" w:right="63"/>
      </w:pPr>
      <w:r>
        <w:rPr>
          <w:b/>
          <w:bCs/>
        </w:rPr>
        <w:t xml:space="preserve">Reflexión crítica: </w:t>
      </w:r>
      <w:r>
        <w:t>El éxito en la respuesta pandémica requirió no solo decretos de emergencia, sino también planes de acción concretos con inversión en infraestructura digital, capacitación docente acelerada y sistemas de apoyo psicosocial para el estudiantado. En el contexto panameño, es necesario institucionalizar estas lecciones, promoviendo alianzas público-privadas para garantizar conectividad universal y apoyar modelos educativos híbridos que hayan demostrado efectividad, alineándose con las mejores prácticas internacionales.</w:t>
      </w:r>
    </w:p>
    <w:p w14:paraId="018A78EE">
      <w:pPr>
        <w:spacing w:after="357"/>
        <w:ind w:left="309" w:right="63"/>
      </w:pPr>
      <w:r>
        <w:rPr>
          <w:b/>
          <w:bCs/>
          <w:i/>
          <w:iCs/>
        </w:rPr>
        <w:t>Impacto en el Rendimiento Académico y la Continuidad Educativa</w:t>
      </w:r>
    </w:p>
    <w:p w14:paraId="384DF257">
      <w:pPr>
        <w:spacing w:after="357"/>
        <w:ind w:left="309" w:right="63"/>
      </w:pPr>
      <w:r>
        <w:t>En los contextos con mayor vulnerabilidad socioeconómica, el impacto de la pandemia en el rendimiento académico universitario fue especialmente severo. En Panamá, según datos del Ministerio de Educación (Meduca, 2021), las tasas de abandono en el primer año de educación superior aumentaron en aproximadamente un 18% durante el período 2020-2021 en comparación con el promedio prepandémico. Este fenómeno se asoció directamente con dificultades económicas de las familias, pérdida de empleo de los sostenedores del hogar y la imposibilidad de acceder a materiales y plataformas digitales.</w:t>
      </w:r>
    </w:p>
    <w:p w14:paraId="2156D012">
      <w:pPr>
        <w:spacing w:after="357"/>
        <w:ind w:left="309" w:right="63"/>
      </w:pPr>
      <w:r>
        <w:t>El Instituto Panameño de Habilitación Especial (IPHE) y la Universidad Especializada de las Américas (UDELAS) reportaron que los estudiantes con necesidades educativas especiales enfrentaron barreras adicionales durante la virtualidad, debido a la falta de recursos accesibles y adaptados en las plataformas digitales utilizadas. Además, la transición abrupta hacia la evaluación virtual generó cuestionamientos sobre la integridad académica y la validez de los aprendizajes medidos.</w:t>
      </w:r>
    </w:p>
    <w:p w14:paraId="1A790707">
      <w:pPr>
        <w:spacing w:after="357"/>
        <w:ind w:left="309" w:right="63"/>
      </w:pPr>
      <w:r>
        <w:rPr>
          <w:b/>
          <w:bCs/>
        </w:rPr>
        <w:t xml:space="preserve">Reflexión crítica: </w:t>
      </w:r>
      <w:r>
        <w:t>Para mitigar el impacto en el rendimiento académico, las instituciones deben adoptar currículos flexibles, sistemas de evaluación auténtica y programas de nivelación post-pandemia. La recuperación de aprendizajes perdidos requiere de estrategias diferenciadas y sostenidas en el tiempo, con especial atención a los estudiantes de primer ingreso y a aquellos en situación de mayor vulnerabilidad.</w:t>
      </w:r>
    </w:p>
    <w:p w14:paraId="300F4BC5">
      <w:pPr>
        <w:spacing w:after="357"/>
        <w:ind w:left="309" w:right="63"/>
        <w:rPr>
          <w:b/>
          <w:bCs/>
          <w:i/>
          <w:iCs/>
        </w:rPr>
      </w:pPr>
      <w:r>
        <w:rPr>
          <w:b/>
          <w:bCs/>
          <w:i/>
          <w:iCs/>
        </w:rPr>
        <w:t xml:space="preserve"> </w:t>
      </w:r>
    </w:p>
    <w:p w14:paraId="55DA8F32">
      <w:pPr>
        <w:spacing w:after="357"/>
        <w:ind w:left="309" w:right="63"/>
      </w:pPr>
      <w:r>
        <w:rPr>
          <w:b/>
          <w:bCs/>
          <w:i/>
          <w:iCs/>
        </w:rPr>
        <w:t>Impacto en la Salud Mental y el Bienestar del Estudiantado</w:t>
      </w:r>
    </w:p>
    <w:p w14:paraId="3CB447B5">
      <w:pPr>
        <w:spacing w:after="357"/>
        <w:ind w:left="309" w:right="63"/>
      </w:pPr>
      <w:r>
        <w:t>En el análisis internacional, el deterioro de la salud mental constituye una de las consecuencias más documentadas de la pandemia en el estudiantado universitario. En Panamá, un estudio realizado por la Universidad de Panamá (2021) encontró que el 62% de los estudiantes encuestados reportó niveles elevados de ansiedad, el 48% manifestó síntomas de depresión y el 71% señaló afectaciones en la calidad del sueño durante el período de cuarentena. La interrupción de las rutinas académicas presenciales, el aislamiento social, la incertidumbre sobre el futuro académico y laboral, y la convivencia de roles (estudiante, cuidador familiar, trabajador) en un mismo espacio físico contribuyeron significativamente al deterioro del bienestar emocional. Las instituciones que implementaron servicios de consejería psicológica virtual, grupos de apoyo entre pares y programas de bienestar estudiantil reportaron mejores indicadores de retención y desempeño académico.</w:t>
      </w:r>
    </w:p>
    <w:p w14:paraId="6B2FBCB9">
      <w:pPr>
        <w:spacing w:after="357"/>
        <w:ind w:left="309" w:right="63"/>
      </w:pPr>
      <w:r>
        <w:rPr>
          <w:b/>
          <w:bCs/>
        </w:rPr>
        <w:t xml:space="preserve">Comparación: </w:t>
      </w:r>
      <w:r>
        <w:t>En países europeos y norteamericanos, el incremento en la demanda de servicios de salud mental estudiantil durante la pandemia fue anticipado e incorporado en los planes de respuesta institucional. En Panamá, la respuesta fue principalmente reactiva, con recursos insuficientes para atender la magnitud de la demanda. La capacitación de docentes en detección temprana de señales de angustia emocional estudiantil resultó una estrategia de bajo costo y alto impacto en varios contextos internacionales.</w:t>
      </w:r>
    </w:p>
    <w:p w14:paraId="2167FA79">
      <w:pPr>
        <w:spacing w:after="357"/>
        <w:ind w:left="309" w:right="63"/>
      </w:pPr>
      <w:r>
        <w:rPr>
          <w:b/>
          <w:bCs/>
        </w:rPr>
        <w:t xml:space="preserve">Reflexión crítica: </w:t>
      </w:r>
      <w:r>
        <w:t>La salud mental estudiantil debe ser considerada un componente estructural de la política educativa universitaria, no solo en contextos de crisis. Su atención requiere inversión sostenida, y la integración de redes de apoyo comunitario, familiar e institucional.</w:t>
      </w:r>
    </w:p>
    <w:p w14:paraId="2D00B1C6">
      <w:pPr>
        <w:spacing w:after="357"/>
        <w:ind w:left="309" w:right="63"/>
        <w:rPr>
          <w:b/>
          <w:bCs/>
          <w:i/>
          <w:iCs/>
        </w:rPr>
      </w:pPr>
      <w:r>
        <w:rPr>
          <w:b/>
          <w:bCs/>
          <w:i/>
          <w:iCs/>
        </w:rPr>
        <w:t xml:space="preserve"> </w:t>
      </w:r>
    </w:p>
    <w:p w14:paraId="0EB0CD27">
      <w:pPr>
        <w:spacing w:after="357"/>
        <w:ind w:left="309" w:right="63"/>
        <w:rPr>
          <w:b/>
          <w:bCs/>
          <w:i/>
          <w:iCs/>
        </w:rPr>
      </w:pPr>
      <w:r>
        <w:rPr>
          <w:b/>
          <w:bCs/>
          <w:i/>
          <w:iCs/>
        </w:rPr>
        <w:t>Brecha Digital y Acceso Tecnológico</w:t>
      </w:r>
    </w:p>
    <w:p w14:paraId="2FBB0AF0">
      <w:pPr>
        <w:spacing w:after="357"/>
        <w:ind w:left="309" w:right="63"/>
        <w:rPr>
          <w:b/>
          <w:bCs/>
        </w:rPr>
      </w:pPr>
      <w:r>
        <w:rPr>
          <w:b/>
          <w:bCs/>
        </w:rPr>
        <w:t xml:space="preserve">Figura 3: </w:t>
      </w:r>
    </w:p>
    <w:p w14:paraId="359F74C0">
      <w:pPr>
        <w:spacing w:after="357"/>
        <w:ind w:left="309" w:right="63"/>
      </w:pPr>
      <w:r>
        <w:drawing>
          <wp:inline distT="0" distB="0" distL="0" distR="0">
            <wp:extent cx="2857500" cy="1600200"/>
            <wp:effectExtent l="0" t="0" r="0" b="0"/>
            <wp:docPr id="413057971"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57971" name="Imagen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57500" cy="1600200"/>
                    </a:xfrm>
                    <a:prstGeom prst="rect">
                      <a:avLst/>
                    </a:prstGeom>
                    <a:noFill/>
                    <a:ln>
                      <a:noFill/>
                    </a:ln>
                  </pic:spPr>
                </pic:pic>
              </a:graphicData>
            </a:graphic>
          </wp:inline>
        </w:drawing>
      </w:r>
      <w:r>
        <w:t xml:space="preserve"> </w:t>
      </w:r>
    </w:p>
    <w:p w14:paraId="414EC23E">
      <w:pPr>
        <w:spacing w:after="357"/>
        <w:ind w:left="309" w:right="63"/>
      </w:pPr>
      <w:r>
        <w:t>Acceso tecnológico a la educación durante la pandemia. Lamentablemente, muchos sectores carecieron de esta oportunidad</w:t>
      </w:r>
    </w:p>
    <w:p w14:paraId="057E8BDC">
      <w:pPr>
        <w:spacing w:after="357"/>
        <w:ind w:left="309" w:right="63"/>
      </w:pPr>
      <w:r>
        <w:t xml:space="preserve"> </w:t>
      </w:r>
    </w:p>
    <w:p w14:paraId="62C82766">
      <w:pPr>
        <w:spacing w:after="357"/>
        <w:ind w:left="309" w:right="63"/>
      </w:pPr>
      <w:r>
        <w:t>La realidad en Panamá muestra que la pandemia expuso y profundizó la brecha digital existente en el acceso a la educación superior. Según datos de la Autoridad Nacional para la Innovación Gubernamental (AIG, 2020), solo el 54% de los hogares panameños contaba con acceso a internet al inicio de la pandemia, con diferencias marcadas entre zonas urbanas y rurales, y entre quintiles de ingreso. Ejemplo: En encuestas aplicadas a estudiantes de la Universidad de Panamá (UP, 2021), el 38% reportó carecer de un dispositivo exclusivo para estudios, el 29% señaló tener conexión a internet de baja velocidad o intermitente, y el 17% indicó compartir el único dispositivo del hogar con otros miembros de la familia para actividades laborales o académicas. Estas condiciones afectaron directamente la participación en clases sincrónicas y el cumplimiento de actividades evaluativas.</w:t>
      </w:r>
    </w:p>
    <w:p w14:paraId="339C61E7">
      <w:pPr>
        <w:spacing w:after="357"/>
        <w:ind w:left="309" w:right="63"/>
      </w:pPr>
      <w:r>
        <w:rPr>
          <w:b/>
          <w:bCs/>
        </w:rPr>
        <w:t xml:space="preserve">Comparación: </w:t>
      </w:r>
      <w:r>
        <w:t>En países con programas exitosos de respuesta a la brecha digital, como Uruguay con el Plan Ceibal o Chile con el programa Me Conecto para Aprender, existía una infraestructura previa de distribución de dispositivos y conectividad que amortiguó el impacto de la pandemia en la continuidad educativa. Panamá careció de un programa equivalente a escala nacional para el nivel de educación superior.</w:t>
      </w:r>
    </w:p>
    <w:p w14:paraId="11649956">
      <w:pPr>
        <w:spacing w:after="357"/>
        <w:ind w:left="309" w:right="63"/>
        <w:sectPr>
          <w:headerReference r:id="rId5" w:type="default"/>
          <w:footerReference r:id="rId6" w:type="default"/>
          <w:pgSz w:w="12240" w:h="15840"/>
          <w:pgMar w:top="1411" w:right="1138" w:bottom="1411" w:left="1138" w:header="709" w:footer="709" w:gutter="0"/>
          <w:pgNumType w:start="208"/>
          <w:cols w:space="720" w:num="1"/>
          <w:docGrid w:type="lines" w:linePitch="360" w:charSpace="0"/>
        </w:sectPr>
      </w:pPr>
    </w:p>
    <w:p w14:paraId="5B5B377B">
      <w:pPr>
        <w:spacing w:after="357"/>
        <w:ind w:left="309" w:right="63"/>
      </w:pPr>
      <w:r>
        <w:rPr>
          <w:b/>
          <w:bCs/>
        </w:rPr>
        <w:t>Cuadro 1: Principales hallazgos sobre el impacto del COVID-19 en estudiantes de educación superior en Panamá</w:t>
      </w:r>
    </w:p>
    <w:p w14:paraId="556C4F36">
      <w:pPr>
        <w:spacing w:after="357"/>
        <w:ind w:left="309" w:right="63"/>
      </w:pPr>
      <w:r>
        <w:t xml:space="preserve"> </w:t>
      </w:r>
    </w:p>
    <w:tbl>
      <w:tblPr>
        <w:tblStyle w:val="4"/>
        <w:tblW w:w="908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406"/>
        <w:gridCol w:w="2312"/>
        <w:gridCol w:w="2182"/>
        <w:gridCol w:w="2595"/>
      </w:tblGrid>
      <w:tr w14:paraId="7D91A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ED6F1" w:sz="2" w:space="0"/>
              <w:left w:val="single" w:color="AED6F1" w:sz="2" w:space="0"/>
              <w:bottom w:val="single" w:color="AED6F1" w:sz="2" w:space="0"/>
              <w:right w:val="single" w:color="AED6F1" w:sz="2" w:space="0"/>
            </w:tcBorders>
            <w:shd w:val="clear" w:color="auto" w:fill="1F4E79"/>
            <w:tcMar>
              <w:top w:w="80" w:type="dxa"/>
              <w:left w:w="120" w:type="dxa"/>
              <w:bottom w:w="80" w:type="dxa"/>
              <w:right w:w="120" w:type="dxa"/>
            </w:tcMar>
            <w:vAlign w:val="center"/>
          </w:tcPr>
          <w:p w14:paraId="3727A92D">
            <w:pPr>
              <w:spacing w:after="357"/>
              <w:ind w:left="309" w:right="63"/>
            </w:pPr>
            <w:r>
              <w:rPr>
                <w:b/>
                <w:bCs/>
              </w:rPr>
              <w:t>Dimensión de análisis</w:t>
            </w:r>
          </w:p>
        </w:tc>
        <w:tc>
          <w:tcPr>
            <w:tcW w:w="2100" w:type="dxa"/>
            <w:tcBorders>
              <w:top w:val="single" w:color="AED6F1" w:sz="2" w:space="0"/>
              <w:left w:val="nil"/>
              <w:bottom w:val="single" w:color="AED6F1" w:sz="2" w:space="0"/>
              <w:right w:val="single" w:color="AED6F1" w:sz="2" w:space="0"/>
            </w:tcBorders>
            <w:shd w:val="clear" w:color="auto" w:fill="1F4E79"/>
            <w:tcMar>
              <w:top w:w="80" w:type="dxa"/>
              <w:left w:w="120" w:type="dxa"/>
              <w:bottom w:w="80" w:type="dxa"/>
              <w:right w:w="120" w:type="dxa"/>
            </w:tcMar>
            <w:vAlign w:val="center"/>
          </w:tcPr>
          <w:p w14:paraId="07920608">
            <w:pPr>
              <w:spacing w:after="357"/>
              <w:ind w:left="309" w:right="63"/>
            </w:pPr>
            <w:r>
              <w:rPr>
                <w:b/>
                <w:bCs/>
              </w:rPr>
              <w:t>Hallazgos principales</w:t>
            </w:r>
          </w:p>
        </w:tc>
        <w:tc>
          <w:tcPr>
            <w:tcW w:w="2480" w:type="dxa"/>
            <w:tcBorders>
              <w:top w:val="single" w:color="AED6F1" w:sz="2" w:space="0"/>
              <w:left w:val="nil"/>
              <w:bottom w:val="single" w:color="AED6F1" w:sz="2" w:space="0"/>
              <w:right w:val="single" w:color="AED6F1" w:sz="2" w:space="0"/>
            </w:tcBorders>
            <w:shd w:val="clear" w:color="auto" w:fill="1F4E79"/>
            <w:tcMar>
              <w:top w:w="80" w:type="dxa"/>
              <w:left w:w="120" w:type="dxa"/>
              <w:bottom w:w="80" w:type="dxa"/>
              <w:right w:w="120" w:type="dxa"/>
            </w:tcMar>
            <w:vAlign w:val="center"/>
          </w:tcPr>
          <w:p w14:paraId="07FE1CDA">
            <w:pPr>
              <w:spacing w:after="357"/>
              <w:ind w:left="309" w:right="63"/>
            </w:pPr>
            <w:r>
              <w:rPr>
                <w:b/>
                <w:bCs/>
              </w:rPr>
              <w:t>Evidencia en Panamá</w:t>
            </w:r>
          </w:p>
        </w:tc>
        <w:tc>
          <w:tcPr>
            <w:tcW w:w="2500" w:type="dxa"/>
            <w:tcBorders>
              <w:top w:val="single" w:color="AED6F1" w:sz="2" w:space="0"/>
              <w:left w:val="nil"/>
              <w:bottom w:val="single" w:color="AED6F1" w:sz="2" w:space="0"/>
              <w:right w:val="single" w:color="AED6F1" w:sz="2" w:space="0"/>
            </w:tcBorders>
            <w:shd w:val="clear" w:color="auto" w:fill="1F4E79"/>
            <w:tcMar>
              <w:top w:w="80" w:type="dxa"/>
              <w:left w:w="120" w:type="dxa"/>
              <w:bottom w:w="80" w:type="dxa"/>
              <w:right w:w="120" w:type="dxa"/>
            </w:tcMar>
            <w:vAlign w:val="center"/>
          </w:tcPr>
          <w:p w14:paraId="3AA596A9">
            <w:pPr>
              <w:spacing w:after="357"/>
              <w:ind w:left="309" w:right="63"/>
            </w:pPr>
            <w:r>
              <w:rPr>
                <w:b/>
                <w:bCs/>
              </w:rPr>
              <w:t>Comparación internacional</w:t>
            </w:r>
          </w:p>
        </w:tc>
      </w:tr>
      <w:tr w14:paraId="7249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ED6F1" w:sz="2" w:space="0"/>
              <w:left w:val="single" w:color="AED6F1" w:sz="2" w:space="0"/>
              <w:bottom w:val="single" w:color="AED6F1" w:sz="2" w:space="0"/>
              <w:right w:val="single" w:color="AED6F1" w:sz="2" w:space="0"/>
            </w:tcBorders>
            <w:shd w:val="clear" w:color="auto" w:fill="FFFFFF"/>
            <w:tcMar>
              <w:top w:w="60" w:type="dxa"/>
              <w:left w:w="120" w:type="dxa"/>
              <w:bottom w:w="60" w:type="dxa"/>
              <w:right w:w="120" w:type="dxa"/>
            </w:tcMar>
            <w:vAlign w:val="center"/>
          </w:tcPr>
          <w:p w14:paraId="5785986D">
            <w:pPr>
              <w:spacing w:after="357"/>
              <w:ind w:left="309" w:right="63"/>
            </w:pPr>
            <w:r>
              <w:t>Políticas y normativa</w:t>
            </w:r>
          </w:p>
        </w:tc>
        <w:tc>
          <w:tcPr>
            <w:tcW w:w="21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3B35717A">
            <w:pPr>
              <w:spacing w:after="357"/>
              <w:ind w:left="309" w:right="63"/>
            </w:pPr>
            <w:r>
              <w:t>Respuestas normativas de emergencia, pero débil implementación equitativa</w:t>
            </w:r>
          </w:p>
        </w:tc>
        <w:tc>
          <w:tcPr>
            <w:tcW w:w="248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0C4F3408">
            <w:pPr>
              <w:spacing w:after="357"/>
              <w:ind w:left="309" w:right="63"/>
            </w:pPr>
            <w:r>
              <w:t>Decreto N.º 500/2020; universidades adoptan plataformas virtuales (Meduca, 2020)</w:t>
            </w:r>
          </w:p>
        </w:tc>
        <w:tc>
          <w:tcPr>
            <w:tcW w:w="25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558BE129">
            <w:pPr>
              <w:spacing w:after="357"/>
              <w:ind w:left="309" w:right="63"/>
            </w:pPr>
            <w:r>
              <w:t>Costa Rica y Chile: subsidios de conectividad y protocolos claros</w:t>
            </w:r>
          </w:p>
        </w:tc>
      </w:tr>
      <w:tr w14:paraId="03C3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ED6F1" w:sz="2" w:space="0"/>
              <w:left w:val="single" w:color="AED6F1" w:sz="2" w:space="0"/>
              <w:bottom w:val="single" w:color="AED6F1" w:sz="2" w:space="0"/>
              <w:right w:val="single" w:color="AED6F1" w:sz="2" w:space="0"/>
            </w:tcBorders>
            <w:shd w:val="clear" w:color="auto" w:fill="D6E4F0"/>
            <w:tcMar>
              <w:top w:w="60" w:type="dxa"/>
              <w:left w:w="120" w:type="dxa"/>
              <w:bottom w:w="60" w:type="dxa"/>
              <w:right w:w="120" w:type="dxa"/>
            </w:tcMar>
            <w:vAlign w:val="center"/>
          </w:tcPr>
          <w:p w14:paraId="11BC8C95">
            <w:pPr>
              <w:spacing w:after="357"/>
              <w:ind w:left="309" w:right="63"/>
            </w:pPr>
            <w:r>
              <w:t>Rendimiento académico</w:t>
            </w:r>
          </w:p>
        </w:tc>
        <w:tc>
          <w:tcPr>
            <w:tcW w:w="21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vAlign w:val="center"/>
          </w:tcPr>
          <w:p w14:paraId="0969FD3C">
            <w:pPr>
              <w:spacing w:after="357"/>
              <w:ind w:left="309" w:right="63"/>
            </w:pPr>
            <w:r>
              <w:t>Aumento de deserción y bajo rendimiento en sectores vulnerables</w:t>
            </w:r>
          </w:p>
        </w:tc>
        <w:tc>
          <w:tcPr>
            <w:tcW w:w="248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vAlign w:val="center"/>
          </w:tcPr>
          <w:p w14:paraId="422496C0">
            <w:pPr>
              <w:spacing w:after="357"/>
              <w:ind w:left="309" w:right="63"/>
            </w:pPr>
            <w:r>
              <w:t>Aumento del 18% en abandono en educación superior (Meduca, 2021)</w:t>
            </w:r>
          </w:p>
        </w:tc>
        <w:tc>
          <w:tcPr>
            <w:tcW w:w="25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vAlign w:val="center"/>
          </w:tcPr>
          <w:p w14:paraId="10B8272F">
            <w:pPr>
              <w:spacing w:after="357"/>
              <w:ind w:left="309" w:right="63"/>
            </w:pPr>
            <w:r>
              <w:t>México y Colombia: programas de nivelación post-pandemia</w:t>
            </w:r>
          </w:p>
        </w:tc>
      </w:tr>
      <w:tr w14:paraId="23AB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ED6F1" w:sz="2" w:space="0"/>
              <w:left w:val="single" w:color="AED6F1" w:sz="2" w:space="0"/>
              <w:bottom w:val="single" w:color="AED6F1" w:sz="2" w:space="0"/>
              <w:right w:val="single" w:color="AED6F1" w:sz="2" w:space="0"/>
            </w:tcBorders>
            <w:shd w:val="clear" w:color="auto" w:fill="FFFFFF"/>
            <w:tcMar>
              <w:top w:w="60" w:type="dxa"/>
              <w:left w:w="120" w:type="dxa"/>
              <w:bottom w:w="60" w:type="dxa"/>
              <w:right w:w="120" w:type="dxa"/>
            </w:tcMar>
            <w:vAlign w:val="center"/>
          </w:tcPr>
          <w:p w14:paraId="0E1A3571">
            <w:pPr>
              <w:spacing w:after="357"/>
              <w:ind w:left="309" w:right="63"/>
            </w:pPr>
            <w:r>
              <w:t>Salud mental</w:t>
            </w:r>
          </w:p>
        </w:tc>
        <w:tc>
          <w:tcPr>
            <w:tcW w:w="21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1E80E181">
            <w:pPr>
              <w:spacing w:after="357"/>
              <w:ind w:left="309" w:right="63"/>
            </w:pPr>
            <w:r>
              <w:t>Altos niveles de ansiedad, depresión y estrés en el estudiantado</w:t>
            </w:r>
          </w:p>
        </w:tc>
        <w:tc>
          <w:tcPr>
            <w:tcW w:w="248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5157E735">
            <w:pPr>
              <w:spacing w:after="357"/>
              <w:ind w:left="309" w:right="63"/>
            </w:pPr>
            <w:r>
              <w:t>62% con ansiedad elevada; 48% con síntomas de depresión (UP, 2021)</w:t>
            </w:r>
          </w:p>
        </w:tc>
        <w:tc>
          <w:tcPr>
            <w:tcW w:w="25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344DB1D3">
            <w:pPr>
              <w:spacing w:after="357"/>
              <w:ind w:left="309" w:right="63"/>
            </w:pPr>
            <w:r>
              <w:t>Europa y Norteamérica: servicios de salud mental integrados en la respuesta</w:t>
            </w:r>
          </w:p>
        </w:tc>
      </w:tr>
      <w:tr w14:paraId="3E36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ED6F1" w:sz="2" w:space="0"/>
              <w:left w:val="single" w:color="AED6F1" w:sz="2" w:space="0"/>
              <w:bottom w:val="single" w:color="AED6F1" w:sz="2" w:space="0"/>
              <w:right w:val="single" w:color="AED6F1" w:sz="2" w:space="0"/>
            </w:tcBorders>
            <w:shd w:val="clear" w:color="auto" w:fill="D6E4F0"/>
            <w:tcMar>
              <w:top w:w="60" w:type="dxa"/>
              <w:left w:w="120" w:type="dxa"/>
              <w:bottom w:w="60" w:type="dxa"/>
              <w:right w:w="120" w:type="dxa"/>
            </w:tcMar>
            <w:vAlign w:val="center"/>
          </w:tcPr>
          <w:p w14:paraId="0C82A9F4">
            <w:pPr>
              <w:spacing w:after="357"/>
              <w:ind w:left="309" w:right="63"/>
            </w:pPr>
            <w:r>
              <w:t>Brecha digital</w:t>
            </w:r>
          </w:p>
        </w:tc>
        <w:tc>
          <w:tcPr>
            <w:tcW w:w="21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vAlign w:val="center"/>
          </w:tcPr>
          <w:p w14:paraId="0BBEAE84">
            <w:pPr>
              <w:spacing w:after="357"/>
              <w:ind w:left="309" w:right="63"/>
            </w:pPr>
            <w:r>
              <w:t>Acceso desigual a dispositivos y conectividad agravó inequidades</w:t>
            </w:r>
          </w:p>
        </w:tc>
        <w:tc>
          <w:tcPr>
            <w:tcW w:w="248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vAlign w:val="center"/>
          </w:tcPr>
          <w:p w14:paraId="2D39AC43">
            <w:pPr>
              <w:spacing w:after="357"/>
              <w:ind w:left="309" w:right="63"/>
            </w:pPr>
            <w:r>
              <w:t>Solo 54% de hogares con internet; 38% sin dispositivo exclusivo (AIG, 2020)</w:t>
            </w:r>
          </w:p>
        </w:tc>
        <w:tc>
          <w:tcPr>
            <w:tcW w:w="25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vAlign w:val="center"/>
          </w:tcPr>
          <w:p w14:paraId="1892438F">
            <w:pPr>
              <w:spacing w:after="357"/>
              <w:ind w:left="309" w:right="63"/>
            </w:pPr>
            <w:r>
              <w:t>Uruguay/Chile: infraestructura digital preexistente amortiguó el impacto</w:t>
            </w:r>
          </w:p>
        </w:tc>
      </w:tr>
      <w:tr w14:paraId="7733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ED6F1" w:sz="2" w:space="0"/>
              <w:left w:val="single" w:color="AED6F1" w:sz="2" w:space="0"/>
              <w:bottom w:val="single" w:color="AED6F1" w:sz="2" w:space="0"/>
              <w:right w:val="single" w:color="AED6F1" w:sz="2" w:space="0"/>
            </w:tcBorders>
            <w:shd w:val="clear" w:color="auto" w:fill="FFFFFF"/>
            <w:tcMar>
              <w:top w:w="60" w:type="dxa"/>
              <w:left w:w="120" w:type="dxa"/>
              <w:bottom w:w="60" w:type="dxa"/>
              <w:right w:w="120" w:type="dxa"/>
            </w:tcMar>
            <w:vAlign w:val="center"/>
          </w:tcPr>
          <w:p w14:paraId="4D0404C2">
            <w:pPr>
              <w:spacing w:after="357"/>
              <w:ind w:left="309" w:right="63"/>
            </w:pPr>
            <w:r>
              <w:t>Formación docente virtual</w:t>
            </w:r>
          </w:p>
        </w:tc>
        <w:tc>
          <w:tcPr>
            <w:tcW w:w="21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2E375F0B">
            <w:pPr>
              <w:spacing w:after="357"/>
              <w:ind w:left="309" w:right="63"/>
            </w:pPr>
            <w:r>
              <w:t>Transición abrupta sin capacitación previa adecuada</w:t>
            </w:r>
          </w:p>
        </w:tc>
        <w:tc>
          <w:tcPr>
            <w:tcW w:w="248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1D45F74C">
            <w:pPr>
              <w:spacing w:after="357"/>
              <w:ind w:left="309" w:right="63"/>
            </w:pPr>
            <w:r>
              <w:t>Mayoría de docentes sin formación en educación virtual (Meduca, 2022)</w:t>
            </w:r>
          </w:p>
        </w:tc>
        <w:tc>
          <w:tcPr>
            <w:tcW w:w="25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202CF155">
            <w:pPr>
              <w:spacing w:after="357"/>
              <w:ind w:left="309" w:right="63"/>
            </w:pPr>
            <w:r>
              <w:t>Argentina y España: programas intensivos de formación docente digital</w:t>
            </w:r>
          </w:p>
        </w:tc>
      </w:tr>
      <w:tr w14:paraId="59FF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000" w:type="dxa"/>
            <w:tcBorders>
              <w:top w:val="single" w:color="AED6F1" w:sz="2" w:space="0"/>
              <w:left w:val="single" w:color="AED6F1" w:sz="2" w:space="0"/>
              <w:bottom w:val="single" w:color="AED6F1" w:sz="2" w:space="0"/>
              <w:right w:val="single" w:color="AED6F1" w:sz="2" w:space="0"/>
            </w:tcBorders>
            <w:shd w:val="clear" w:color="auto" w:fill="D6E4F0"/>
            <w:tcMar>
              <w:top w:w="60" w:type="dxa"/>
              <w:left w:w="120" w:type="dxa"/>
              <w:bottom w:w="60" w:type="dxa"/>
              <w:right w:w="120" w:type="dxa"/>
            </w:tcMar>
            <w:vAlign w:val="center"/>
          </w:tcPr>
          <w:p w14:paraId="7D3C3A8D">
            <w:pPr>
              <w:spacing w:after="357"/>
              <w:ind w:left="309" w:right="63"/>
            </w:pPr>
            <w:r>
              <w:t>Participación familiar</w:t>
            </w:r>
          </w:p>
        </w:tc>
        <w:tc>
          <w:tcPr>
            <w:tcW w:w="21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tcPr>
          <w:p w14:paraId="0A9F2ABD">
            <w:pPr>
              <w:spacing w:after="357"/>
              <w:ind w:left="309" w:right="63"/>
            </w:pPr>
            <w:r>
              <w:t>Su involucramiento moderó impactos negativos en el estudiantado</w:t>
            </w:r>
          </w:p>
        </w:tc>
        <w:tc>
          <w:tcPr>
            <w:tcW w:w="248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tcPr>
          <w:p w14:paraId="17373D59">
            <w:pPr>
              <w:spacing w:after="357"/>
              <w:ind w:left="309" w:right="63"/>
            </w:pPr>
            <w:r>
              <w:t>Baja coordinación entre familias e instituciones universitarias</w:t>
            </w:r>
          </w:p>
        </w:tc>
        <w:tc>
          <w:tcPr>
            <w:tcW w:w="25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tcPr>
          <w:p w14:paraId="3D394B03">
            <w:pPr>
              <w:spacing w:after="357"/>
              <w:ind w:left="309" w:right="63"/>
            </w:pPr>
            <w:r>
              <w:t>Modelos europeos integran redes de apoyo familiar en la continuidad educativa</w:t>
            </w:r>
          </w:p>
        </w:tc>
      </w:tr>
    </w:tbl>
    <w:p w14:paraId="3888DF16">
      <w:pPr>
        <w:spacing w:after="357"/>
        <w:ind w:left="309" w:right="63"/>
        <w:rPr>
          <w:b/>
          <w:bCs/>
        </w:rPr>
      </w:pPr>
      <w:r>
        <w:rPr>
          <w:b/>
          <w:bCs/>
        </w:rPr>
        <w:t>Fuente: Elaboración propia</w:t>
      </w:r>
    </w:p>
    <w:p w14:paraId="75E32322">
      <w:pPr>
        <w:spacing w:after="357"/>
        <w:ind w:left="309" w:right="63"/>
        <w:rPr>
          <w:b/>
          <w:bCs/>
        </w:rPr>
      </w:pPr>
      <w:r>
        <w:rPr>
          <w:b/>
          <w:bCs/>
        </w:rPr>
        <w:t xml:space="preserve"> </w:t>
      </w:r>
    </w:p>
    <w:p w14:paraId="25C7CEE2">
      <w:pPr>
        <w:spacing w:after="357"/>
        <w:ind w:left="309" w:right="63"/>
      </w:pPr>
      <w:r>
        <w:t>Este cuadro presenta los principales hallazgos sobre el impacto de la pandemia COVID-19 en la educación superior panameña, comparando la situación nacional con modelos internacionales. Destaca que, en Panamá, aunque hubo respuestas institucionales relevantes, persisten limitaciones en la equidad digital, el apoyo a la salud mental y la continuidad académica de los grupos más vulnerables.</w:t>
      </w:r>
    </w:p>
    <w:p w14:paraId="7D586D91">
      <w:pPr>
        <w:spacing w:after="357"/>
        <w:ind w:left="309" w:right="63"/>
        <w:rPr>
          <w:b/>
          <w:bCs/>
        </w:rPr>
      </w:pPr>
      <w:r>
        <w:rPr>
          <w:b/>
          <w:bCs/>
        </w:rPr>
        <w:t xml:space="preserve"> </w:t>
      </w:r>
    </w:p>
    <w:p w14:paraId="44706017">
      <w:pPr>
        <w:spacing w:after="357"/>
        <w:ind w:left="309" w:right="63"/>
        <w:rPr>
          <w:b/>
          <w:bCs/>
        </w:rPr>
      </w:pPr>
      <w:r>
        <w:rPr>
          <w:b/>
          <w:bCs/>
        </w:rPr>
        <w:t xml:space="preserve"> </w:t>
      </w:r>
    </w:p>
    <w:p w14:paraId="26233B7B">
      <w:pPr>
        <w:spacing w:after="357"/>
        <w:ind w:left="309" w:right="63"/>
        <w:rPr>
          <w:b/>
          <w:bCs/>
        </w:rPr>
      </w:pPr>
      <w:r>
        <w:rPr>
          <w:b/>
          <w:bCs/>
        </w:rPr>
        <w:t>Cuadro 2: Resumen de Respuestas Institucionales ante la Pandemia – Criterios Clave y Resultados</w:t>
      </w:r>
    </w:p>
    <w:p w14:paraId="30ADB174">
      <w:pPr>
        <w:spacing w:after="357"/>
        <w:ind w:left="309" w:right="63"/>
      </w:pPr>
      <w:r>
        <w:t xml:space="preserve"> </w:t>
      </w:r>
    </w:p>
    <w:tbl>
      <w:tblPr>
        <w:tblStyle w:val="4"/>
        <w:tblW w:w="908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4"/>
        <w:gridCol w:w="1905"/>
        <w:gridCol w:w="1905"/>
        <w:gridCol w:w="1831"/>
        <w:gridCol w:w="1850"/>
      </w:tblGrid>
      <w:tr w14:paraId="2F3A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ED6F1" w:sz="2" w:space="0"/>
              <w:left w:val="single" w:color="AED6F1" w:sz="2" w:space="0"/>
              <w:bottom w:val="single" w:color="AED6F1" w:sz="2" w:space="0"/>
              <w:right w:val="single" w:color="AED6F1" w:sz="2" w:space="0"/>
            </w:tcBorders>
            <w:shd w:val="clear" w:color="auto" w:fill="1F4E79"/>
            <w:tcMar>
              <w:top w:w="80" w:type="dxa"/>
              <w:left w:w="120" w:type="dxa"/>
              <w:bottom w:w="80" w:type="dxa"/>
              <w:right w:w="120" w:type="dxa"/>
            </w:tcMar>
            <w:vAlign w:val="center"/>
          </w:tcPr>
          <w:p w14:paraId="127D8BD4">
            <w:pPr>
              <w:spacing w:after="357"/>
              <w:ind w:left="309" w:right="63"/>
            </w:pPr>
            <w:r>
              <w:rPr>
                <w:b/>
                <w:bCs/>
              </w:rPr>
              <w:t>Criterios Evaluados</w:t>
            </w:r>
          </w:p>
        </w:tc>
        <w:tc>
          <w:tcPr>
            <w:tcW w:w="1600" w:type="dxa"/>
            <w:tcBorders>
              <w:top w:val="single" w:color="AED6F1" w:sz="2" w:space="0"/>
              <w:left w:val="nil"/>
              <w:bottom w:val="single" w:color="AED6F1" w:sz="2" w:space="0"/>
              <w:right w:val="single" w:color="AED6F1" w:sz="2" w:space="0"/>
            </w:tcBorders>
            <w:shd w:val="clear" w:color="auto" w:fill="1F4E79"/>
            <w:tcMar>
              <w:top w:w="80" w:type="dxa"/>
              <w:left w:w="120" w:type="dxa"/>
              <w:bottom w:w="80" w:type="dxa"/>
              <w:right w:w="120" w:type="dxa"/>
            </w:tcMar>
            <w:vAlign w:val="center"/>
          </w:tcPr>
          <w:p w14:paraId="756A11F0">
            <w:pPr>
              <w:spacing w:after="357"/>
              <w:ind w:left="309" w:right="63"/>
            </w:pPr>
            <w:r>
              <w:rPr>
                <w:b/>
                <w:bCs/>
              </w:rPr>
              <w:t>Respuestas de Alta Efectividad</w:t>
            </w:r>
          </w:p>
        </w:tc>
        <w:tc>
          <w:tcPr>
            <w:tcW w:w="1600" w:type="dxa"/>
            <w:tcBorders>
              <w:top w:val="single" w:color="AED6F1" w:sz="2" w:space="0"/>
              <w:left w:val="nil"/>
              <w:bottom w:val="single" w:color="AED6F1" w:sz="2" w:space="0"/>
              <w:right w:val="single" w:color="AED6F1" w:sz="2" w:space="0"/>
            </w:tcBorders>
            <w:shd w:val="clear" w:color="auto" w:fill="1F4E79"/>
            <w:tcMar>
              <w:top w:w="80" w:type="dxa"/>
              <w:left w:w="120" w:type="dxa"/>
              <w:bottom w:w="80" w:type="dxa"/>
              <w:right w:w="120" w:type="dxa"/>
            </w:tcMar>
            <w:vAlign w:val="center"/>
          </w:tcPr>
          <w:p w14:paraId="013F20CC">
            <w:pPr>
              <w:spacing w:after="357"/>
              <w:ind w:left="309" w:right="63"/>
            </w:pPr>
            <w:r>
              <w:rPr>
                <w:b/>
                <w:bCs/>
              </w:rPr>
              <w:t>Respuestas de Baja Efectividad</w:t>
            </w:r>
          </w:p>
        </w:tc>
        <w:tc>
          <w:tcPr>
            <w:tcW w:w="1880" w:type="dxa"/>
            <w:tcBorders>
              <w:top w:val="single" w:color="AED6F1" w:sz="2" w:space="0"/>
              <w:left w:val="nil"/>
              <w:bottom w:val="single" w:color="AED6F1" w:sz="2" w:space="0"/>
              <w:right w:val="single" w:color="AED6F1" w:sz="2" w:space="0"/>
            </w:tcBorders>
            <w:shd w:val="clear" w:color="auto" w:fill="1F4E79"/>
            <w:tcMar>
              <w:top w:w="80" w:type="dxa"/>
              <w:left w:w="120" w:type="dxa"/>
              <w:bottom w:w="80" w:type="dxa"/>
              <w:right w:w="120" w:type="dxa"/>
            </w:tcMar>
            <w:vAlign w:val="center"/>
          </w:tcPr>
          <w:p w14:paraId="6DD9E848">
            <w:pPr>
              <w:spacing w:after="357"/>
              <w:ind w:left="309" w:right="63"/>
            </w:pPr>
            <w:r>
              <w:rPr>
                <w:b/>
                <w:bCs/>
              </w:rPr>
              <w:t>Barreras Detectadas</w:t>
            </w:r>
          </w:p>
        </w:tc>
        <w:tc>
          <w:tcPr>
            <w:tcW w:w="1800" w:type="dxa"/>
            <w:tcBorders>
              <w:top w:val="single" w:color="AED6F1" w:sz="2" w:space="0"/>
              <w:left w:val="nil"/>
              <w:bottom w:val="single" w:color="AED6F1" w:sz="2" w:space="0"/>
              <w:right w:val="single" w:color="AED6F1" w:sz="2" w:space="0"/>
            </w:tcBorders>
            <w:shd w:val="clear" w:color="auto" w:fill="1F4E79"/>
            <w:tcMar>
              <w:top w:w="80" w:type="dxa"/>
              <w:left w:w="120" w:type="dxa"/>
              <w:bottom w:w="80" w:type="dxa"/>
              <w:right w:w="120" w:type="dxa"/>
            </w:tcMar>
            <w:vAlign w:val="center"/>
          </w:tcPr>
          <w:p w14:paraId="5BB0F882">
            <w:pPr>
              <w:spacing w:after="357"/>
              <w:ind w:left="309" w:right="63"/>
            </w:pPr>
            <w:r>
              <w:rPr>
                <w:b/>
                <w:bCs/>
              </w:rPr>
              <w:t>Fortalezas Identificadas</w:t>
            </w:r>
          </w:p>
        </w:tc>
      </w:tr>
      <w:tr w14:paraId="53C8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ED6F1" w:sz="2" w:space="0"/>
              <w:left w:val="single" w:color="AED6F1" w:sz="2" w:space="0"/>
              <w:bottom w:val="single" w:color="AED6F1" w:sz="2" w:space="0"/>
              <w:right w:val="single" w:color="AED6F1" w:sz="2" w:space="0"/>
            </w:tcBorders>
            <w:shd w:val="clear" w:color="auto" w:fill="FFFFFF"/>
            <w:tcMar>
              <w:top w:w="60" w:type="dxa"/>
              <w:left w:w="120" w:type="dxa"/>
              <w:bottom w:w="60" w:type="dxa"/>
              <w:right w:w="120" w:type="dxa"/>
            </w:tcMar>
            <w:vAlign w:val="center"/>
          </w:tcPr>
          <w:p w14:paraId="71E3DAE9">
            <w:pPr>
              <w:spacing w:after="357"/>
              <w:ind w:left="309" w:right="63"/>
            </w:pPr>
            <w:r>
              <w:t>Plataformas y recursos digitales</w:t>
            </w:r>
          </w:p>
        </w:tc>
        <w:tc>
          <w:tcPr>
            <w:tcW w:w="16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4D52149B">
            <w:pPr>
              <w:spacing w:after="357"/>
              <w:ind w:left="309" w:right="63"/>
            </w:pPr>
            <w:r>
              <w:t>70%</w:t>
            </w:r>
          </w:p>
        </w:tc>
        <w:tc>
          <w:tcPr>
            <w:tcW w:w="16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60ED50CE">
            <w:pPr>
              <w:spacing w:after="357"/>
              <w:ind w:left="309" w:right="63"/>
            </w:pPr>
            <w:r>
              <w:t>30%</w:t>
            </w:r>
          </w:p>
        </w:tc>
        <w:tc>
          <w:tcPr>
            <w:tcW w:w="188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tcPr>
          <w:p w14:paraId="0B41C827">
            <w:pPr>
              <w:spacing w:after="357"/>
              <w:ind w:left="309" w:right="63"/>
            </w:pPr>
            <w:r>
              <w:t>Falta de conectividad, dispositivos insuficientes</w:t>
            </w:r>
          </w:p>
        </w:tc>
        <w:tc>
          <w:tcPr>
            <w:tcW w:w="18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tcPr>
          <w:p w14:paraId="75A8476C">
            <w:pPr>
              <w:spacing w:after="357"/>
              <w:ind w:left="309" w:right="63"/>
            </w:pPr>
            <w:r>
              <w:t>Adopción rápida de Moodle y Google Classroom</w:t>
            </w:r>
          </w:p>
        </w:tc>
      </w:tr>
      <w:tr w14:paraId="2123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ED6F1" w:sz="2" w:space="0"/>
              <w:left w:val="single" w:color="AED6F1" w:sz="2" w:space="0"/>
              <w:bottom w:val="single" w:color="AED6F1" w:sz="2" w:space="0"/>
              <w:right w:val="single" w:color="AED6F1" w:sz="2" w:space="0"/>
            </w:tcBorders>
            <w:shd w:val="clear" w:color="auto" w:fill="D6E4F0"/>
            <w:tcMar>
              <w:top w:w="60" w:type="dxa"/>
              <w:left w:w="120" w:type="dxa"/>
              <w:bottom w:w="60" w:type="dxa"/>
              <w:right w:w="120" w:type="dxa"/>
            </w:tcMar>
            <w:vAlign w:val="center"/>
          </w:tcPr>
          <w:p w14:paraId="5EBE1DB5">
            <w:pPr>
              <w:spacing w:after="357"/>
              <w:ind w:left="309" w:right="63"/>
            </w:pPr>
            <w:r>
              <w:t>Apoyo psicosocial al estudiantado</w:t>
            </w:r>
          </w:p>
        </w:tc>
        <w:tc>
          <w:tcPr>
            <w:tcW w:w="16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vAlign w:val="center"/>
          </w:tcPr>
          <w:p w14:paraId="3E869B18">
            <w:pPr>
              <w:spacing w:after="357"/>
              <w:ind w:left="309" w:right="63"/>
            </w:pPr>
            <w:r>
              <w:t>40%</w:t>
            </w:r>
          </w:p>
        </w:tc>
        <w:tc>
          <w:tcPr>
            <w:tcW w:w="16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vAlign w:val="center"/>
          </w:tcPr>
          <w:p w14:paraId="4CF8C89A">
            <w:pPr>
              <w:spacing w:after="357"/>
              <w:ind w:left="309" w:right="63"/>
            </w:pPr>
            <w:r>
              <w:t>60%</w:t>
            </w:r>
          </w:p>
        </w:tc>
        <w:tc>
          <w:tcPr>
            <w:tcW w:w="188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tcPr>
          <w:p w14:paraId="7F349076">
            <w:pPr>
              <w:spacing w:after="357"/>
              <w:ind w:left="309" w:right="63"/>
            </w:pPr>
            <w:r>
              <w:t>Recursos insuficientes, demanda desbordada</w:t>
            </w:r>
          </w:p>
        </w:tc>
        <w:tc>
          <w:tcPr>
            <w:tcW w:w="18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tcPr>
          <w:p w14:paraId="1E96FAE0">
            <w:pPr>
              <w:spacing w:after="357"/>
              <w:ind w:left="309" w:right="63"/>
            </w:pPr>
            <w:r>
              <w:t>Consejería virtual y grupos de apoyo entre pares</w:t>
            </w:r>
          </w:p>
        </w:tc>
      </w:tr>
      <w:tr w14:paraId="6FB0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ED6F1" w:sz="2" w:space="0"/>
              <w:left w:val="single" w:color="AED6F1" w:sz="2" w:space="0"/>
              <w:bottom w:val="single" w:color="AED6F1" w:sz="2" w:space="0"/>
              <w:right w:val="single" w:color="AED6F1" w:sz="2" w:space="0"/>
            </w:tcBorders>
            <w:shd w:val="clear" w:color="auto" w:fill="FFFFFF"/>
            <w:tcMar>
              <w:top w:w="60" w:type="dxa"/>
              <w:left w:w="120" w:type="dxa"/>
              <w:bottom w:w="60" w:type="dxa"/>
              <w:right w:w="120" w:type="dxa"/>
            </w:tcMar>
            <w:vAlign w:val="center"/>
          </w:tcPr>
          <w:p w14:paraId="5DBCD200">
            <w:pPr>
              <w:spacing w:after="357"/>
              <w:ind w:left="309" w:right="63"/>
            </w:pPr>
            <w:r>
              <w:t>Flexibilización curricular y evaluativa</w:t>
            </w:r>
          </w:p>
        </w:tc>
        <w:tc>
          <w:tcPr>
            <w:tcW w:w="16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2FD1257D">
            <w:pPr>
              <w:spacing w:after="357"/>
              <w:ind w:left="309" w:right="63"/>
            </w:pPr>
            <w:r>
              <w:t>65%</w:t>
            </w:r>
          </w:p>
        </w:tc>
        <w:tc>
          <w:tcPr>
            <w:tcW w:w="16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0597FDF0">
            <w:pPr>
              <w:spacing w:after="357"/>
              <w:ind w:left="309" w:right="63"/>
            </w:pPr>
            <w:r>
              <w:t>35%</w:t>
            </w:r>
          </w:p>
        </w:tc>
        <w:tc>
          <w:tcPr>
            <w:tcW w:w="188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tcPr>
          <w:p w14:paraId="32F58547">
            <w:pPr>
              <w:spacing w:after="357"/>
              <w:ind w:left="309" w:right="63"/>
            </w:pPr>
            <w:r>
              <w:t>Resistencia docente, inequidad evaluativa</w:t>
            </w:r>
          </w:p>
        </w:tc>
        <w:tc>
          <w:tcPr>
            <w:tcW w:w="18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tcPr>
          <w:p w14:paraId="1006CB43">
            <w:pPr>
              <w:spacing w:after="357"/>
              <w:ind w:left="309" w:right="63"/>
            </w:pPr>
            <w:r>
              <w:t>Ajuste de calendarios y evaluaciones auténticas</w:t>
            </w:r>
          </w:p>
        </w:tc>
      </w:tr>
      <w:tr w14:paraId="5581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ED6F1" w:sz="2" w:space="0"/>
              <w:left w:val="single" w:color="AED6F1" w:sz="2" w:space="0"/>
              <w:bottom w:val="single" w:color="AED6F1" w:sz="2" w:space="0"/>
              <w:right w:val="single" w:color="AED6F1" w:sz="2" w:space="0"/>
            </w:tcBorders>
            <w:shd w:val="clear" w:color="auto" w:fill="D6E4F0"/>
            <w:tcMar>
              <w:top w:w="60" w:type="dxa"/>
              <w:left w:w="120" w:type="dxa"/>
              <w:bottom w:w="60" w:type="dxa"/>
              <w:right w:w="120" w:type="dxa"/>
            </w:tcMar>
            <w:vAlign w:val="center"/>
          </w:tcPr>
          <w:p w14:paraId="6437C6FD">
            <w:pPr>
              <w:spacing w:after="357"/>
              <w:ind w:left="309" w:right="63"/>
            </w:pPr>
            <w:r>
              <w:t>Formación docente en virtualidad</w:t>
            </w:r>
          </w:p>
        </w:tc>
        <w:tc>
          <w:tcPr>
            <w:tcW w:w="16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vAlign w:val="center"/>
          </w:tcPr>
          <w:p w14:paraId="4AD9BBA4">
            <w:pPr>
              <w:spacing w:after="357"/>
              <w:ind w:left="309" w:right="63"/>
            </w:pPr>
            <w:r>
              <w:t>35%</w:t>
            </w:r>
          </w:p>
        </w:tc>
        <w:tc>
          <w:tcPr>
            <w:tcW w:w="16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vAlign w:val="center"/>
          </w:tcPr>
          <w:p w14:paraId="1E00535A">
            <w:pPr>
              <w:spacing w:after="357"/>
              <w:ind w:left="309" w:right="63"/>
            </w:pPr>
            <w:r>
              <w:t>65%</w:t>
            </w:r>
          </w:p>
        </w:tc>
        <w:tc>
          <w:tcPr>
            <w:tcW w:w="188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tcPr>
          <w:p w14:paraId="0D8A7632">
            <w:pPr>
              <w:spacing w:after="357"/>
              <w:ind w:left="309" w:right="63"/>
            </w:pPr>
            <w:r>
              <w:t>Ausencia de programas previos, tiempo limitado</w:t>
            </w:r>
          </w:p>
        </w:tc>
        <w:tc>
          <w:tcPr>
            <w:tcW w:w="1800" w:type="dxa"/>
            <w:tcBorders>
              <w:top w:val="single" w:color="AED6F1" w:sz="2" w:space="0"/>
              <w:left w:val="nil"/>
              <w:bottom w:val="single" w:color="AED6F1" w:sz="2" w:space="0"/>
              <w:right w:val="single" w:color="AED6F1" w:sz="2" w:space="0"/>
            </w:tcBorders>
            <w:shd w:val="clear" w:color="auto" w:fill="D6E4F0"/>
            <w:tcMar>
              <w:top w:w="60" w:type="dxa"/>
              <w:left w:w="120" w:type="dxa"/>
              <w:bottom w:w="60" w:type="dxa"/>
              <w:right w:w="120" w:type="dxa"/>
            </w:tcMar>
          </w:tcPr>
          <w:p w14:paraId="13E50F1E">
            <w:pPr>
              <w:spacing w:after="357"/>
              <w:ind w:left="309" w:right="63"/>
            </w:pPr>
            <w:r>
              <w:t>Talleres emergentes y comunidades de aprendizaje docente</w:t>
            </w:r>
          </w:p>
        </w:tc>
      </w:tr>
      <w:tr w14:paraId="376C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200" w:type="dxa"/>
            <w:tcBorders>
              <w:top w:val="single" w:color="AED6F1" w:sz="2" w:space="0"/>
              <w:left w:val="single" w:color="AED6F1" w:sz="2" w:space="0"/>
              <w:bottom w:val="single" w:color="AED6F1" w:sz="2" w:space="0"/>
              <w:right w:val="single" w:color="AED6F1" w:sz="2" w:space="0"/>
            </w:tcBorders>
            <w:shd w:val="clear" w:color="auto" w:fill="FFFFFF"/>
            <w:tcMar>
              <w:top w:w="60" w:type="dxa"/>
              <w:left w:w="120" w:type="dxa"/>
              <w:bottom w:w="60" w:type="dxa"/>
              <w:right w:w="120" w:type="dxa"/>
            </w:tcMar>
            <w:vAlign w:val="center"/>
          </w:tcPr>
          <w:p w14:paraId="6CA90367">
            <w:pPr>
              <w:spacing w:after="357"/>
              <w:ind w:left="309" w:right="63"/>
            </w:pPr>
            <w:r>
              <w:t>Alianzas con sector privado y ONG</w:t>
            </w:r>
          </w:p>
        </w:tc>
        <w:tc>
          <w:tcPr>
            <w:tcW w:w="16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2AF47863">
            <w:pPr>
              <w:spacing w:after="357"/>
              <w:ind w:left="309" w:right="63"/>
            </w:pPr>
            <w:r>
              <w:t>30%</w:t>
            </w:r>
          </w:p>
        </w:tc>
        <w:tc>
          <w:tcPr>
            <w:tcW w:w="16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vAlign w:val="center"/>
          </w:tcPr>
          <w:p w14:paraId="7FBB2C14">
            <w:pPr>
              <w:spacing w:after="357"/>
              <w:ind w:left="309" w:right="63"/>
            </w:pPr>
            <w:r>
              <w:t>70%</w:t>
            </w:r>
          </w:p>
        </w:tc>
        <w:tc>
          <w:tcPr>
            <w:tcW w:w="188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tcPr>
          <w:p w14:paraId="4A96EB5C">
            <w:pPr>
              <w:spacing w:after="357"/>
              <w:ind w:left="309" w:right="63"/>
            </w:pPr>
            <w:r>
              <w:t>Poca articulación interinstitucional</w:t>
            </w:r>
          </w:p>
        </w:tc>
        <w:tc>
          <w:tcPr>
            <w:tcW w:w="1800" w:type="dxa"/>
            <w:tcBorders>
              <w:top w:val="single" w:color="AED6F1" w:sz="2" w:space="0"/>
              <w:left w:val="nil"/>
              <w:bottom w:val="single" w:color="AED6F1" w:sz="2" w:space="0"/>
              <w:right w:val="single" w:color="AED6F1" w:sz="2" w:space="0"/>
            </w:tcBorders>
            <w:shd w:val="clear" w:color="auto" w:fill="FFFFFF"/>
            <w:tcMar>
              <w:top w:w="60" w:type="dxa"/>
              <w:left w:w="120" w:type="dxa"/>
              <w:bottom w:w="60" w:type="dxa"/>
              <w:right w:w="120" w:type="dxa"/>
            </w:tcMar>
          </w:tcPr>
          <w:p w14:paraId="1ACFF813">
            <w:pPr>
              <w:spacing w:after="357"/>
              <w:ind w:left="309" w:right="63"/>
            </w:pPr>
            <w:r>
              <w:t>Donaciones de dispositivos y becas de conectividad</w:t>
            </w:r>
          </w:p>
        </w:tc>
      </w:tr>
    </w:tbl>
    <w:p w14:paraId="5E668959">
      <w:pPr>
        <w:spacing w:after="357"/>
        <w:ind w:left="309" w:right="63"/>
        <w:rPr>
          <w:b/>
          <w:bCs/>
        </w:rPr>
      </w:pPr>
      <w:r>
        <w:tab/>
      </w:r>
      <w:r>
        <w:rPr>
          <w:b/>
          <w:bCs/>
        </w:rPr>
        <w:t>Fuente: Elaboración propia</w:t>
      </w:r>
    </w:p>
    <w:p w14:paraId="1EB00356">
      <w:pPr>
        <w:spacing w:after="357"/>
        <w:ind w:left="309" w:right="63"/>
      </w:pPr>
      <w:r>
        <w:t>Este cuadro condensa las principales conclusiones del análisis, resaltando que las respuestas más efectivas combinaron acceso tecnológico, apoyo socioemocional y flexibilidad pedagógica. También enfatiza la importancia de la formación docente continua y la necesidad de fortalecer las alianzas interinstitucionales para garantizar la equidad y calidad en la educación superior post-pandemia en Panamá.</w:t>
      </w:r>
    </w:p>
    <w:p w14:paraId="706396BB">
      <w:pPr>
        <w:spacing w:after="357"/>
        <w:ind w:left="309" w:right="63"/>
      </w:pPr>
      <w:r>
        <w:t xml:space="preserve"> </w:t>
      </w:r>
    </w:p>
    <w:p w14:paraId="55AC341D">
      <w:pPr>
        <w:spacing w:after="357"/>
        <w:ind w:left="309" w:right="63"/>
      </w:pPr>
    </w:p>
    <w:p w14:paraId="206524EE">
      <w:pPr>
        <w:spacing w:after="357"/>
        <w:ind w:left="309" w:right="63"/>
      </w:pPr>
    </w:p>
    <w:p w14:paraId="6BE0634B">
      <w:pPr>
        <w:spacing w:after="357"/>
        <w:ind w:left="0" w:right="63" w:firstLine="0"/>
        <w:rPr>
          <w:b/>
          <w:bCs/>
        </w:rPr>
      </w:pPr>
    </w:p>
    <w:p w14:paraId="379A887C">
      <w:pPr>
        <w:spacing w:after="357"/>
        <w:ind w:left="0" w:right="63" w:firstLine="0"/>
      </w:pPr>
      <w:r>
        <w:rPr>
          <w:b/>
          <w:bCs/>
        </w:rPr>
        <w:t xml:space="preserve">Reflexión crítica: </w:t>
      </w:r>
      <w:r>
        <w:t>Cerrar la brecha digital requiere políticas públicas de largo plazo que vayan más allá de la emergencia pandémica. La conectividad universal debe ser reconocida como un derecho educativo fundamental, con inversión sostenida en infraestructura, dispositivos y competencias digitales tanto para estudiantes como para docentes.</w:t>
      </w:r>
    </w:p>
    <w:p w14:paraId="3E72BCF6">
      <w:pPr>
        <w:spacing w:after="357"/>
        <w:ind w:left="309" w:right="63"/>
      </w:pPr>
      <w:r>
        <w:t xml:space="preserve"> </w:t>
      </w:r>
    </w:p>
    <w:p w14:paraId="52C800E2">
      <w:pPr>
        <w:spacing w:after="357"/>
        <w:ind w:left="309" w:right="63"/>
      </w:pPr>
      <w:r>
        <w:rPr>
          <w:b/>
          <w:bCs/>
          <w:i/>
          <w:iCs/>
        </w:rPr>
        <w:t>Conclusión del análisis</w:t>
      </w:r>
    </w:p>
    <w:p w14:paraId="5DD6BDEF">
      <w:pPr>
        <w:spacing w:after="357"/>
        <w:ind w:left="309" w:right="63"/>
      </w:pPr>
      <w:r>
        <w:t>La comparación con modelos internacionales evidencia que en Panamá es urgente avanzar hacia el fortalecimiento de las políticas de educación superior, la inversión en infraestructura digital equitativa y la institucionalización de servicios de salud mental universitaria. Solo mediante esfuerzos coordinados, sostenidos y fundamentados en evidencia podrá construirse un sistema educativo superior resiliente, equitativo y preparado para enfrentar futuras disrupciones.</w:t>
      </w:r>
    </w:p>
    <w:p w14:paraId="12415FE1">
      <w:pPr>
        <w:spacing w:after="357"/>
        <w:ind w:left="309" w:right="63"/>
      </w:pPr>
      <w:r>
        <w:t>Al comparar estos hallazgos, se destaca que las instituciones más exitosas compartieron un enfoque integral que articuló respuestas normativas ágiles, apoyos tecnológicos accesibles y acompañamiento socioemocional continuo. La desconexión entre estas dimensiones explica los resultados heterogéneos observados en Panamá. Además, es evidente que la recuperación educativa no depende únicamente de retornar a la presencialidad, sino de reconstruir la experiencia educativa con mayor equidad, flexibilidad y atención al bienestar integral del estudiantado.</w:t>
      </w:r>
    </w:p>
    <w:p w14:paraId="6696E1C0">
      <w:pPr>
        <w:spacing w:after="357"/>
        <w:ind w:left="309" w:right="63"/>
        <w:rPr>
          <w:b/>
        </w:rPr>
      </w:pPr>
      <w:r>
        <w:rPr>
          <w:b/>
        </w:rPr>
        <w:t xml:space="preserve"> </w:t>
      </w:r>
    </w:p>
    <w:p w14:paraId="4185BEF9">
      <w:pPr>
        <w:spacing w:after="357"/>
        <w:ind w:left="309" w:right="63"/>
        <w:rPr>
          <w:b/>
        </w:rPr>
      </w:pPr>
      <w:r>
        <w:rPr>
          <w:b/>
        </w:rPr>
        <w:t>Conclusiones</w:t>
      </w:r>
      <w:r>
        <w:rPr>
          <w:b/>
        </w:rPr>
        <w:tab/>
      </w:r>
    </w:p>
    <w:p w14:paraId="1DB6DBB1">
      <w:pPr>
        <w:spacing w:after="357"/>
        <w:ind w:left="309" w:right="63"/>
        <w:rPr>
          <w:b/>
        </w:rPr>
      </w:pPr>
    </w:p>
    <w:p w14:paraId="5DEFDB23">
      <w:pPr>
        <w:spacing w:after="357"/>
        <w:ind w:left="309" w:right="63"/>
      </w:pPr>
      <w:r>
        <w:rPr>
          <w:b/>
        </w:rPr>
        <w:t xml:space="preserve"> </w:t>
      </w:r>
      <w:r>
        <w:t>El análisis realizado ha puesto en evidencia que la pandemia COVID-19 tuvo un impacto multidimensional y diferenciado en los estudiantes de educación superior en Panamá, afectando especialmente su rendimiento académico, salud mental y acceso equitativo a la educación virtual. Como sostiene Hodges et al. (2020), la enseñanza remota de emergencia no equivale a educación en línea de calidad; por ello, los resultados observados deben interpretarse en el marco de las limitaciones estructurales del contexto de crisis. Sin embargo, persiste una brecha significativa entre las respuestas institucionales adoptadas y las necesidades reales del estudiantado, particularmente de los sectores más vulnerables.</w:t>
      </w:r>
    </w:p>
    <w:p w14:paraId="55B6AD06">
      <w:pPr>
        <w:spacing w:after="357"/>
        <w:ind w:left="309" w:right="63"/>
      </w:pPr>
      <w:r>
        <w:t>En respuesta a la pregunta de investigación, se concluye que los factores que mayor efectividad demostraron en el contexto panameño incluyen la adopción de plataformas digitales accesibles, la flexibilización curricular y evaluativa, y la implementación de servicios de apoyo psicosocial. Estos componentes se alinean con el enfoque propuesto por Bronfenbrenner, que reconoce la necesidad de intervenir en múltiples niveles del ecosistema educativo para garantizar resultados equitativos. De cara al futuro, en el contexto panameño, se proyecta la relevancia de consolidar modelos educativos híbridos, ampliar la infraestructura digital con cobertura equitativa y fortalecer la formación docente en pedagogías para entornos virtuales y mixtos.</w:t>
      </w:r>
      <w:bookmarkStart w:id="1" w:name="_GoBack"/>
      <w:bookmarkEnd w:id="1"/>
    </w:p>
    <w:p w14:paraId="5C189AD1">
      <w:pPr>
        <w:spacing w:after="357"/>
        <w:ind w:left="309" w:right="63"/>
      </w:pPr>
      <w:r>
        <w:t>En consecuencia, se recomienda a las autoridades de educación superior de Panamá que incrementen la inversión en programas de conectividad universal, institucionalicen los servicios de salud mental universitaria y promuevan activamente una cultura de resiliencia, adaptabilidad e inclusión digital. Solo mediante esfuerzos coordinados y fundamentados en evidencia podrá avanzarse hacia un sistema de educación superior que garantice el derecho a una educación de calidad para todos los jóvenes panameños, incluso ante futuras disrupciones.</w:t>
      </w:r>
    </w:p>
    <w:p w14:paraId="36F82363">
      <w:pPr>
        <w:spacing w:after="357"/>
        <w:ind w:left="309" w:right="63"/>
        <w:rPr>
          <w:b/>
        </w:rPr>
      </w:pPr>
      <w:r>
        <w:rPr>
          <w:b/>
        </w:rPr>
        <w:t xml:space="preserve"> </w:t>
      </w:r>
    </w:p>
    <w:p w14:paraId="6872502C">
      <w:pPr>
        <w:spacing w:after="357"/>
        <w:ind w:left="309" w:right="63"/>
        <w:rPr>
          <w:b/>
        </w:rPr>
      </w:pPr>
      <w:r>
        <w:rPr>
          <w:b/>
        </w:rPr>
        <w:t>RECOMENDACIONES</w:t>
      </w:r>
    </w:p>
    <w:p w14:paraId="702E6FA2">
      <w:pPr>
        <w:spacing w:after="357"/>
        <w:ind w:left="309" w:right="63"/>
      </w:pPr>
      <w:r>
        <w:rPr>
          <w:bCs/>
        </w:rPr>
        <w:t xml:space="preserve"> </w:t>
      </w:r>
      <w:r>
        <w:rPr>
          <w:b/>
          <w:bCs/>
          <w:i/>
          <w:iCs/>
        </w:rPr>
        <w:t>Para autoridades de gestión educativa (Asamblea, Meduca, SENACYT, universidades públicas)</w:t>
      </w:r>
    </w:p>
    <w:p w14:paraId="407D9063">
      <w:pPr>
        <w:numPr>
          <w:ilvl w:val="0"/>
          <w:numId w:val="2"/>
        </w:numPr>
        <w:spacing w:after="357"/>
        <w:ind w:right="63"/>
      </w:pPr>
      <w:r>
        <w:t>Establecer una política nacional de educación híbrida para el nivel superior, con estándares de calidad pedagógica y equidad de acceso.</w:t>
      </w:r>
    </w:p>
    <w:p w14:paraId="2C190D98">
      <w:pPr>
        <w:numPr>
          <w:ilvl w:val="0"/>
          <w:numId w:val="2"/>
        </w:numPr>
        <w:spacing w:after="357"/>
        <w:ind w:right="63"/>
      </w:pPr>
      <w:r>
        <w:t>Crear un fondo permanente de becas de conectividad y dispositivos tecnológicos para estudiantes de bajos recursos en universidades públicas.</w:t>
      </w:r>
    </w:p>
    <w:p w14:paraId="582B3BB6">
      <w:pPr>
        <w:numPr>
          <w:ilvl w:val="0"/>
          <w:numId w:val="2"/>
        </w:numPr>
        <w:spacing w:after="357"/>
        <w:ind w:right="63"/>
      </w:pPr>
      <w:r>
        <w:t>Incorporar indicadores de bienestar estudiantil (salud mental, retención, satisfacción) en los sistemas nacionales de evaluación de la calidad universitaria.</w:t>
      </w:r>
    </w:p>
    <w:p w14:paraId="0D9E9780">
      <w:pPr>
        <w:spacing w:after="357"/>
        <w:ind w:left="309" w:right="63"/>
      </w:pPr>
      <w:r>
        <w:rPr>
          <w:b/>
          <w:bCs/>
          <w:i/>
          <w:iCs/>
        </w:rPr>
        <w:t>Para actores educativos (directivos, docentes, orientadores universitarios)</w:t>
      </w:r>
    </w:p>
    <w:p w14:paraId="1826CFEF">
      <w:pPr>
        <w:numPr>
          <w:ilvl w:val="0"/>
          <w:numId w:val="2"/>
        </w:numPr>
        <w:spacing w:after="357"/>
        <w:ind w:right="63"/>
      </w:pPr>
      <w:r>
        <w:t>Diseñar e implementar programas de formación docente continua en pedagogías para entornos virtuales, híbridos y de emergencia.</w:t>
      </w:r>
    </w:p>
    <w:p w14:paraId="2403D3C6">
      <w:pPr>
        <w:numPr>
          <w:ilvl w:val="0"/>
          <w:numId w:val="2"/>
        </w:numPr>
        <w:spacing w:after="357"/>
        <w:ind w:right="63"/>
      </w:pPr>
      <w:r>
        <w:t>Adoptar estrategias de evaluación auténtica que midan competencias reales y reduzcan el riesgo de deshonestidad académica en entornos virtuales.</w:t>
      </w:r>
    </w:p>
    <w:p w14:paraId="41E02580">
      <w:pPr>
        <w:numPr>
          <w:ilvl w:val="0"/>
          <w:numId w:val="2"/>
        </w:numPr>
        <w:spacing w:after="357"/>
        <w:ind w:right="63"/>
      </w:pPr>
      <w:r>
        <w:t>Establecer sistemas de alerta temprana para identificar estudiantes en riesgo de abandono o con afectaciones en su salud mental.</w:t>
      </w:r>
    </w:p>
    <w:p w14:paraId="4F0B7FC8">
      <w:pPr>
        <w:numPr>
          <w:ilvl w:val="0"/>
          <w:numId w:val="2"/>
        </w:numPr>
        <w:spacing w:after="357"/>
        <w:ind w:right="63"/>
      </w:pPr>
      <w:r>
        <w:t>Promover la flexibilización curricular con rutas de aprendizaje personalizadas que atiendan la diversidad de contextos estudiantiles.</w:t>
      </w:r>
    </w:p>
    <w:p w14:paraId="07320529">
      <w:pPr>
        <w:spacing w:after="357"/>
        <w:ind w:left="309" w:right="63"/>
      </w:pPr>
      <w:r>
        <w:rPr>
          <w:b/>
          <w:bCs/>
          <w:i/>
          <w:iCs/>
        </w:rPr>
        <w:t>Para familias y comunidades</w:t>
      </w:r>
    </w:p>
    <w:p w14:paraId="24FC9FC8">
      <w:pPr>
        <w:numPr>
          <w:ilvl w:val="0"/>
          <w:numId w:val="2"/>
        </w:numPr>
        <w:spacing w:after="357"/>
        <w:ind w:right="63"/>
      </w:pPr>
      <w:r>
        <w:t>Fortalecer la comunicación entre familias e instituciones universitarias mediante canales digitales accesibles y programas de orientación familiar.</w:t>
      </w:r>
    </w:p>
    <w:p w14:paraId="0A8A83BE">
      <w:pPr>
        <w:numPr>
          <w:ilvl w:val="0"/>
          <w:numId w:val="2"/>
        </w:numPr>
        <w:spacing w:after="357"/>
        <w:ind w:right="63"/>
      </w:pPr>
      <w:r>
        <w:t>Promover redes comunitarias de apoyo que faciliten el acceso compartido a recursos tecnológicos y espacios de estudio adecuados.</w:t>
      </w:r>
    </w:p>
    <w:p w14:paraId="7EECB975">
      <w:pPr>
        <w:numPr>
          <w:ilvl w:val="0"/>
          <w:numId w:val="2"/>
        </w:numPr>
        <w:spacing w:after="357"/>
        <w:ind w:right="63"/>
      </w:pPr>
      <w:r>
        <w:t>Sensibilizar a las familias sobre la importancia del apoyo emocional y la reducción de la carga doméstica durante períodos de estudio.</w:t>
      </w:r>
    </w:p>
    <w:p w14:paraId="5A93A880">
      <w:pPr>
        <w:spacing w:after="357"/>
        <w:ind w:left="309" w:right="63"/>
      </w:pPr>
      <w:r>
        <w:rPr>
          <w:b/>
          <w:bCs/>
          <w:i/>
          <w:iCs/>
        </w:rPr>
        <w:t>Para el sector privado (empresas tecnológicas, telecomunicaciones, cooperativas)</w:t>
      </w:r>
    </w:p>
    <w:p w14:paraId="6DB41F06">
      <w:pPr>
        <w:numPr>
          <w:ilvl w:val="0"/>
          <w:numId w:val="2"/>
        </w:numPr>
        <w:spacing w:after="357"/>
        <w:ind w:right="63"/>
      </w:pPr>
      <w:r>
        <w:t>Establecer alianzas con universidades para la donación o préstamo de dispositivos tecnológicos a estudiantes de escasos recursos.</w:t>
      </w:r>
    </w:p>
    <w:p w14:paraId="321711EE">
      <w:pPr>
        <w:numPr>
          <w:ilvl w:val="0"/>
          <w:numId w:val="2"/>
        </w:numPr>
        <w:spacing w:after="357"/>
        <w:ind w:right="63"/>
      </w:pPr>
      <w:r>
        <w:t>Desarrollar tarifas educativas diferenciales y acceso gratuito a plataformas de aprendizaje para el estudiantado universitario panameño.</w:t>
      </w:r>
    </w:p>
    <w:p w14:paraId="3A17AEE7">
      <w:pPr>
        <w:numPr>
          <w:ilvl w:val="0"/>
          <w:numId w:val="2"/>
        </w:numPr>
        <w:spacing w:after="357"/>
        <w:ind w:right="63"/>
      </w:pPr>
      <w:r>
        <w:t>Participar en programas de prácticas profesionales virtuales o híbridas que permitan a los estudiantes desarrollar competencias relevantes para el mercado laboral post-pandémico.</w:t>
      </w:r>
    </w:p>
    <w:p w14:paraId="70FA5ED4">
      <w:pPr>
        <w:spacing w:after="357"/>
        <w:ind w:left="309" w:right="63"/>
        <w:rPr>
          <w:bCs/>
        </w:rPr>
      </w:pPr>
      <w:r>
        <w:rPr>
          <w:bCs/>
        </w:rPr>
        <w:t xml:space="preserve"> Estas recomendaciones son específicas, derivadas de los hallazgos, prácticas y contextualizadas al sistema educativo panameño y contrastadas con experiencias internacionales. </w:t>
      </w:r>
    </w:p>
    <w:p w14:paraId="5014D39D">
      <w:pPr>
        <w:spacing w:after="357"/>
        <w:ind w:left="309" w:right="63"/>
        <w:rPr>
          <w:b/>
        </w:rPr>
      </w:pPr>
      <w:r>
        <w:rPr>
          <w:b/>
        </w:rPr>
        <w:t xml:space="preserve"> </w:t>
      </w:r>
    </w:p>
    <w:p w14:paraId="4A071DC1">
      <w:pPr>
        <w:spacing w:after="357"/>
        <w:ind w:left="309" w:right="63"/>
        <w:rPr>
          <w:b/>
        </w:rPr>
      </w:pPr>
      <w:r>
        <w:rPr>
          <w:b/>
        </w:rPr>
        <w:t xml:space="preserve">AGRADECIMIENTOS </w:t>
      </w:r>
    </w:p>
    <w:p w14:paraId="4550BAE2">
      <w:pPr>
        <w:spacing w:after="357"/>
        <w:ind w:left="309" w:right="63"/>
      </w:pPr>
    </w:p>
    <w:p w14:paraId="0E0D4849">
      <w:pPr>
        <w:spacing w:after="357"/>
        <w:ind w:left="309" w:right="63"/>
      </w:pPr>
      <w:r>
        <w:t>La autora agradece a la Universidad de los Llanos del Pacífico (UDELLPA) por el apoyo institucional brindado para el desarrollo de esta investigación. Se reconoce asimismo la valiosa contribución de los autores e instituciones cuyos estudios fueron revisados y analizados en el presente trabajo, sin los cuales no hubiera sido posible construir esta síntesis del conocimiento sobre el impacto de la pandemia en la educación superior panameña.</w:t>
      </w:r>
    </w:p>
    <w:p w14:paraId="5FB28451">
      <w:pPr>
        <w:spacing w:after="357"/>
        <w:ind w:left="309" w:right="63"/>
        <w:rPr>
          <w:b/>
        </w:rPr>
      </w:pPr>
      <w:r>
        <w:t xml:space="preserve"> </w:t>
      </w:r>
      <w:r>
        <w:rPr>
          <w:b/>
        </w:rPr>
        <w:t xml:space="preserve"> </w:t>
      </w:r>
    </w:p>
    <w:p w14:paraId="5E8B100F">
      <w:pPr>
        <w:spacing w:after="357"/>
        <w:ind w:left="309" w:right="63"/>
        <w:rPr>
          <w:b/>
        </w:rPr>
      </w:pPr>
      <w:r>
        <w:rPr>
          <w:b/>
        </w:rPr>
        <w:t>CONFLICTO DE INTERESES</w:t>
      </w:r>
    </w:p>
    <w:p w14:paraId="17F3FA3A">
      <w:pPr>
        <w:spacing w:after="357"/>
        <w:ind w:left="309" w:right="63"/>
      </w:pPr>
      <w:r>
        <w:t>La autora declara que no existen conflictos de intereses que puedan haber influido en los resultados o en la interpretación de los datos presentados en este estudio.</w:t>
      </w:r>
    </w:p>
    <w:p w14:paraId="05D33055">
      <w:pPr>
        <w:spacing w:after="357"/>
        <w:ind w:left="309" w:right="63"/>
      </w:pPr>
      <w:r>
        <w:t xml:space="preserve"> </w:t>
      </w:r>
    </w:p>
    <w:p w14:paraId="11F1D545">
      <w:pPr>
        <w:spacing w:after="357"/>
        <w:ind w:left="309" w:right="63"/>
        <w:rPr>
          <w:b/>
        </w:rPr>
      </w:pPr>
      <w:r>
        <w:rPr>
          <w:b/>
        </w:rPr>
        <w:t xml:space="preserve">CONTRIBUCIÓN Y APROBACIÓN DE LOS AUTORES </w:t>
      </w:r>
    </w:p>
    <w:p w14:paraId="058F67E0">
      <w:pPr>
        <w:spacing w:after="357"/>
        <w:ind w:left="309" w:right="63"/>
      </w:pPr>
      <w:r>
        <w:t xml:space="preserve">Este artículo fue preparado y elaborado por la Magíster profesora Anyuri Vega. </w:t>
      </w:r>
    </w:p>
    <w:p w14:paraId="3DEAB8F0">
      <w:pPr>
        <w:spacing w:after="357"/>
        <w:ind w:left="309" w:right="63"/>
        <w:rPr>
          <w:b/>
        </w:rPr>
      </w:pPr>
      <w:r>
        <w:t xml:space="preserve"> </w:t>
      </w:r>
      <w:r>
        <w:rPr>
          <w:b/>
        </w:rPr>
        <w:t xml:space="preserve"> </w:t>
      </w:r>
    </w:p>
    <w:p w14:paraId="684EAD19">
      <w:pPr>
        <w:spacing w:after="357"/>
        <w:ind w:left="309" w:right="63"/>
        <w:rPr>
          <w:b/>
        </w:rPr>
      </w:pPr>
      <w:r>
        <w:rPr>
          <w:b/>
        </w:rPr>
        <w:t>REFERENCIAS</w:t>
      </w:r>
    </w:p>
    <w:p w14:paraId="2D5382B5">
      <w:pPr>
        <w:pStyle w:val="13"/>
      </w:pPr>
      <w:r>
        <w:t>Asociación Americana de Psicología. (2020).</w:t>
      </w:r>
    </w:p>
    <w:p w14:paraId="77CA1F6F">
      <w:pPr>
        <w:pStyle w:val="13"/>
      </w:pPr>
      <w:r>
        <w:t>Estrés en América 2020: Una crisis nacional de salud mental.</w:t>
      </w:r>
    </w:p>
    <w:p w14:paraId="421902B4">
      <w:pPr>
        <w:pStyle w:val="13"/>
      </w:pPr>
      <w:r>
        <w:fldChar w:fldCharType="begin"/>
      </w:r>
      <w:r>
        <w:instrText xml:space="preserve"> HYPERLINK "https://www.apa.org/news/press/releases/stress/2020/report" </w:instrText>
      </w:r>
      <w:r>
        <w:fldChar w:fldCharType="separate"/>
      </w:r>
      <w:r>
        <w:rPr>
          <w:rStyle w:val="5"/>
        </w:rPr>
        <w:t>https://www.apa.org/news/press/releases/stress/2020/report</w:t>
      </w:r>
      <w:r>
        <w:rPr>
          <w:rStyle w:val="5"/>
        </w:rPr>
        <w:fldChar w:fldCharType="end"/>
      </w:r>
    </w:p>
    <w:p w14:paraId="548996E5">
      <w:pPr>
        <w:pStyle w:val="13"/>
      </w:pPr>
      <w:r>
        <w:t>Aristovnik, A., Keržič, D., Ravšelj, D., Tomaževič, N., &amp; Umek, L. (2020).</w:t>
      </w:r>
    </w:p>
    <w:p w14:paraId="3D6EB16C">
      <w:pPr>
        <w:pStyle w:val="13"/>
      </w:pPr>
      <w:r>
        <w:t>Impactos de la pandemia de COVID-19 en la vida de los estudiantes de educación superior: una perspectiva global. Sostenibilidad, 12(20), 8438.</w:t>
      </w:r>
    </w:p>
    <w:p w14:paraId="4174062A">
      <w:pPr>
        <w:pStyle w:val="13"/>
      </w:pPr>
    </w:p>
    <w:p w14:paraId="48487FE9">
      <w:pPr>
        <w:pStyle w:val="13"/>
      </w:pPr>
      <w:r>
        <w:fldChar w:fldCharType="begin"/>
      </w:r>
      <w:r>
        <w:instrText xml:space="preserve"> HYPERLINK "https://doi.org/10.3390/su12208438" </w:instrText>
      </w:r>
      <w:r>
        <w:fldChar w:fldCharType="separate"/>
      </w:r>
      <w:r>
        <w:rPr>
          <w:rStyle w:val="5"/>
        </w:rPr>
        <w:t>https://doi.org/10.3390/su12208438</w:t>
      </w:r>
      <w:r>
        <w:rPr>
          <w:rStyle w:val="5"/>
        </w:rPr>
        <w:fldChar w:fldCharType="end"/>
      </w:r>
    </w:p>
    <w:p w14:paraId="205FDF78">
      <w:pPr>
        <w:pStyle w:val="13"/>
      </w:pPr>
      <w:r>
        <w:t>Bao, W. (2020).</w:t>
      </w:r>
    </w:p>
    <w:p w14:paraId="190CBF8F">
      <w:pPr>
        <w:pStyle w:val="13"/>
      </w:pPr>
      <w:r>
        <w:t>COVID-19 y la enseñanza online en la educación superior: un caso de estudio. Comportamiento humano y tecnologías emergentes, 2(2), 113–115.</w:t>
      </w:r>
    </w:p>
    <w:p w14:paraId="1F341B54">
      <w:pPr>
        <w:pStyle w:val="13"/>
      </w:pPr>
      <w:r>
        <w:fldChar w:fldCharType="begin"/>
      </w:r>
      <w:r>
        <w:instrText xml:space="preserve"> HYPERLINK "https://doi.org/10.1002/hbe2.191" </w:instrText>
      </w:r>
      <w:r>
        <w:fldChar w:fldCharType="separate"/>
      </w:r>
      <w:r>
        <w:rPr>
          <w:rStyle w:val="5"/>
        </w:rPr>
        <w:t>https://doi.org/10.1002/hbe2.191</w:t>
      </w:r>
      <w:r>
        <w:rPr>
          <w:rStyle w:val="5"/>
        </w:rPr>
        <w:fldChar w:fldCharType="end"/>
      </w:r>
    </w:p>
    <w:p w14:paraId="2D092A73">
      <w:pPr>
        <w:pStyle w:val="13"/>
        <w:rPr>
          <w:lang w:val="es-ES"/>
        </w:rPr>
      </w:pPr>
      <w:r>
        <w:rPr>
          <w:lang w:val="es-ES"/>
        </w:rPr>
        <w:t>Browning, M. H. E. M., et al. (2021).</w:t>
      </w:r>
    </w:p>
    <w:p w14:paraId="53AE5BD0">
      <w:pPr>
        <w:pStyle w:val="13"/>
      </w:pPr>
      <w:r>
        <w:t>Impactos psicológicos de la COVID-19 entre los estudiantes universitarios. PLoS ONE, 16(2).</w:t>
      </w:r>
    </w:p>
    <w:p w14:paraId="630512D4">
      <w:pPr>
        <w:pStyle w:val="13"/>
      </w:pPr>
      <w:r>
        <w:fldChar w:fldCharType="begin"/>
      </w:r>
      <w:r>
        <w:instrText xml:space="preserve"> HYPERLINK "https://doi.org/10.1371/journal.pone.0245327" </w:instrText>
      </w:r>
      <w:r>
        <w:fldChar w:fldCharType="separate"/>
      </w:r>
      <w:r>
        <w:rPr>
          <w:rStyle w:val="5"/>
        </w:rPr>
        <w:t>https://doi.org/10.1371/journal.pone.0245327</w:t>
      </w:r>
      <w:r>
        <w:rPr>
          <w:rStyle w:val="5"/>
        </w:rPr>
        <w:fldChar w:fldCharType="end"/>
      </w:r>
    </w:p>
    <w:p w14:paraId="54B027CE">
      <w:pPr>
        <w:pStyle w:val="13"/>
      </w:pPr>
      <w:r>
        <w:t xml:space="preserve"> </w:t>
      </w:r>
    </w:p>
    <w:p w14:paraId="04F3ED0C">
      <w:pPr>
        <w:pStyle w:val="13"/>
      </w:pPr>
      <w:r>
        <w:t>Cao, W., Fang, Z., Hou, G., et al. (2020).</w:t>
      </w:r>
    </w:p>
    <w:p w14:paraId="1CD9855B">
      <w:pPr>
        <w:pStyle w:val="13"/>
      </w:pPr>
      <w:r>
        <w:t>El impacto psicológico de la epidemia de COVID-19 en los estudiantes universitarios. Psychiatry Research, 287.</w:t>
      </w:r>
    </w:p>
    <w:p w14:paraId="58A9FF53">
      <w:pPr>
        <w:pStyle w:val="13"/>
      </w:pPr>
      <w:r>
        <w:fldChar w:fldCharType="begin"/>
      </w:r>
      <w:r>
        <w:instrText xml:space="preserve"> HYPERLINK "https://doi.org/10.1016/j.psychres.2020.112934" </w:instrText>
      </w:r>
      <w:r>
        <w:fldChar w:fldCharType="separate"/>
      </w:r>
      <w:r>
        <w:rPr>
          <w:rStyle w:val="5"/>
        </w:rPr>
        <w:t>https://doi.org/10.1016/j.psychres.2020.112934</w:t>
      </w:r>
      <w:r>
        <w:rPr>
          <w:rStyle w:val="5"/>
        </w:rPr>
        <w:fldChar w:fldCharType="end"/>
      </w:r>
      <w:r>
        <w:t xml:space="preserve"> </w:t>
      </w:r>
    </w:p>
    <w:p w14:paraId="0CB4F310">
      <w:pPr>
        <w:pStyle w:val="13"/>
      </w:pPr>
      <w:r>
        <w:t>CEPAL. (2020).</w:t>
      </w:r>
    </w:p>
    <w:p w14:paraId="14DD7379">
      <w:pPr>
        <w:pStyle w:val="13"/>
      </w:pPr>
      <w:r>
        <w:t>La educación en tiempos de la pandemia de COVID-19.</w:t>
      </w:r>
    </w:p>
    <w:p w14:paraId="375BACFC">
      <w:pPr>
        <w:pStyle w:val="13"/>
      </w:pPr>
      <w:r>
        <w:fldChar w:fldCharType="begin"/>
      </w:r>
      <w:r>
        <w:instrText xml:space="preserve"> HYPERLINK "https://repositorio.cepal.org/handle/11362/45904" </w:instrText>
      </w:r>
      <w:r>
        <w:fldChar w:fldCharType="separate"/>
      </w:r>
      <w:r>
        <w:rPr>
          <w:rStyle w:val="5"/>
        </w:rPr>
        <w:t>https://repositorio.cepal.org/handle/11362/45904</w:t>
      </w:r>
      <w:r>
        <w:rPr>
          <w:rStyle w:val="5"/>
        </w:rPr>
        <w:fldChar w:fldCharType="end"/>
      </w:r>
      <w:r>
        <w:t xml:space="preserve"> </w:t>
      </w:r>
    </w:p>
    <w:p w14:paraId="530820F4">
      <w:pPr>
        <w:pStyle w:val="13"/>
      </w:pPr>
      <w:r>
        <w:rPr>
          <w:lang w:val="en-US"/>
        </w:rPr>
        <w:t xml:space="preserve">Chakraborty, P., Mittal, P., Gupta, M., et al. </w:t>
      </w:r>
      <w:r>
        <w:t>(2021).</w:t>
      </w:r>
    </w:p>
    <w:p w14:paraId="79E50F92">
      <w:pPr>
        <w:pStyle w:val="13"/>
      </w:pPr>
      <w:r>
        <w:t>Opinión de los estudiantes sobre la educación online durante la COVID-19. Comportamiento humano y tecnologías emergentes, 3(3), 357–365.</w:t>
      </w:r>
    </w:p>
    <w:p w14:paraId="26DFB72A">
      <w:pPr>
        <w:pStyle w:val="13"/>
      </w:pPr>
      <w:r>
        <w:fldChar w:fldCharType="begin"/>
      </w:r>
      <w:r>
        <w:instrText xml:space="preserve"> HYPERLINK "https://doi.org/10.1002/hbe2.240" </w:instrText>
      </w:r>
      <w:r>
        <w:fldChar w:fldCharType="separate"/>
      </w:r>
      <w:r>
        <w:rPr>
          <w:rStyle w:val="5"/>
        </w:rPr>
        <w:t>https://doi.org/10.1002/hbe2.240</w:t>
      </w:r>
      <w:r>
        <w:rPr>
          <w:rStyle w:val="5"/>
        </w:rPr>
        <w:fldChar w:fldCharType="end"/>
      </w:r>
    </w:p>
    <w:p w14:paraId="6F829588">
      <w:pPr>
        <w:pStyle w:val="13"/>
      </w:pPr>
      <w:r>
        <w:t>Dhawan, S. (2020).</w:t>
      </w:r>
    </w:p>
    <w:p w14:paraId="7FAF62FC">
      <w:pPr>
        <w:pStyle w:val="13"/>
        <w:rPr>
          <w:lang w:val="en-US"/>
        </w:rPr>
      </w:pPr>
      <w:r>
        <w:t xml:space="preserve">Aprendizaje online: Una panacea en tiempos de crisis de la COVID-19. </w:t>
      </w:r>
      <w:r>
        <w:rPr>
          <w:lang w:val="en-US"/>
        </w:rPr>
        <w:t>Revista de Sistemas de Tecnología Educativa, 49(1), 5–22.</w:t>
      </w:r>
    </w:p>
    <w:p w14:paraId="60639771">
      <w:pPr>
        <w:pStyle w:val="13"/>
        <w:rPr>
          <w:lang w:val="en-US"/>
        </w:rPr>
      </w:pPr>
      <w:r>
        <w:fldChar w:fldCharType="begin"/>
      </w:r>
      <w:r>
        <w:instrText xml:space="preserve"> HYPERLINK "https://doi.org/10.1177/0047239520934018" </w:instrText>
      </w:r>
      <w:r>
        <w:fldChar w:fldCharType="separate"/>
      </w:r>
      <w:r>
        <w:rPr>
          <w:rStyle w:val="5"/>
          <w:lang w:val="en-US"/>
        </w:rPr>
        <w:t>https://doi.org/10.1177/0047239520934018</w:t>
      </w:r>
      <w:r>
        <w:rPr>
          <w:rStyle w:val="5"/>
          <w:lang w:val="en-US"/>
        </w:rPr>
        <w:fldChar w:fldCharType="end"/>
      </w:r>
    </w:p>
    <w:p w14:paraId="67B5BCD7">
      <w:pPr>
        <w:pStyle w:val="13"/>
        <w:rPr>
          <w:lang w:val="en-US"/>
        </w:rPr>
      </w:pPr>
      <w:r>
        <w:rPr>
          <w:lang w:val="en-US"/>
        </w:rPr>
        <w:t>Elmer, T., Mepham, K., &amp; Stadtfeld, C. (2020).</w:t>
      </w:r>
    </w:p>
    <w:p w14:paraId="421A686F">
      <w:pPr>
        <w:pStyle w:val="13"/>
      </w:pPr>
      <w:r>
        <w:rPr>
          <w:lang w:val="en-US"/>
        </w:rPr>
        <w:t xml:space="preserve">Students under lockdown: Comparisons of social networks and mental health. </w:t>
      </w:r>
      <w:r>
        <w:t>PLoS ONE, 15(7).</w:t>
      </w:r>
    </w:p>
    <w:p w14:paraId="0A254C7C">
      <w:pPr>
        <w:pStyle w:val="13"/>
      </w:pPr>
      <w:r>
        <w:fldChar w:fldCharType="begin"/>
      </w:r>
      <w:r>
        <w:instrText xml:space="preserve"> HYPERLINK "https://doi.org/10.1371/journal.pone.0236337" </w:instrText>
      </w:r>
      <w:r>
        <w:fldChar w:fldCharType="separate"/>
      </w:r>
      <w:r>
        <w:rPr>
          <w:rStyle w:val="5"/>
        </w:rPr>
        <w:t>https://doi.org/10.1371/journal.pone.0236337</w:t>
      </w:r>
      <w:r>
        <w:rPr>
          <w:rStyle w:val="5"/>
        </w:rPr>
        <w:fldChar w:fldCharType="end"/>
      </w:r>
    </w:p>
    <w:p w14:paraId="53F3E293">
      <w:pPr>
        <w:pStyle w:val="13"/>
      </w:pPr>
      <w:r>
        <w:t xml:space="preserve"> </w:t>
      </w:r>
    </w:p>
    <w:p w14:paraId="4E47FDB7">
      <w:pPr>
        <w:pStyle w:val="13"/>
      </w:pPr>
      <w:r>
        <w:t>UNESCO. (2021).</w:t>
      </w:r>
    </w:p>
    <w:p w14:paraId="3ADD26EE">
      <w:pPr>
        <w:pStyle w:val="13"/>
      </w:pPr>
      <w:r>
        <w:t>Educación: De la disrupción a la recuperación.</w:t>
      </w:r>
    </w:p>
    <w:p w14:paraId="512B3CF2">
      <w:pPr>
        <w:pStyle w:val="13"/>
      </w:pPr>
      <w:r>
        <w:fldChar w:fldCharType="begin"/>
      </w:r>
      <w:r>
        <w:instrText xml:space="preserve"> HYPERLINK "https://www.unesco.org/en/covid-19/education-response" </w:instrText>
      </w:r>
      <w:r>
        <w:fldChar w:fldCharType="separate"/>
      </w:r>
      <w:r>
        <w:rPr>
          <w:rStyle w:val="5"/>
        </w:rPr>
        <w:t>https://www.unesco.org/en/covid-19/education-response</w:t>
      </w:r>
      <w:r>
        <w:rPr>
          <w:rStyle w:val="5"/>
        </w:rPr>
        <w:fldChar w:fldCharType="end"/>
      </w:r>
    </w:p>
    <w:p w14:paraId="02CDEA82">
      <w:pPr>
        <w:pStyle w:val="13"/>
      </w:pPr>
      <w:r>
        <w:t xml:space="preserve"> </w:t>
      </w:r>
    </w:p>
    <w:p w14:paraId="30AA217E">
      <w:pPr>
        <w:pStyle w:val="13"/>
      </w:pPr>
      <w:r>
        <w:t xml:space="preserve"> </w:t>
      </w:r>
    </w:p>
    <w:p w14:paraId="09D3B552">
      <w:pPr>
        <w:pStyle w:val="13"/>
      </w:pPr>
      <w:r>
        <w:t xml:space="preserve"> </w:t>
      </w:r>
    </w:p>
    <w:p w14:paraId="19DFCD67">
      <w:pPr>
        <w:pStyle w:val="13"/>
      </w:pPr>
      <w:r>
        <w:t xml:space="preserve"> </w:t>
      </w:r>
    </w:p>
    <w:p w14:paraId="39D7AE40">
      <w:pPr>
        <w:pStyle w:val="13"/>
      </w:pPr>
      <w:r>
        <w:t>Essadek, A., &amp; Rabeyron, T. (2020).</w:t>
      </w:r>
    </w:p>
    <w:p w14:paraId="2244B22E">
      <w:pPr>
        <w:pStyle w:val="13"/>
      </w:pPr>
      <w:r>
        <w:t>Salud mental de los estudiantes franceses durante la COVID-19. Revista de Trastornos Afectivos, 277, 392–393.</w:t>
      </w:r>
    </w:p>
    <w:p w14:paraId="40745BE3">
      <w:pPr>
        <w:pStyle w:val="13"/>
      </w:pPr>
      <w:r>
        <w:fldChar w:fldCharType="begin"/>
      </w:r>
      <w:r>
        <w:instrText xml:space="preserve"> HYPERLINK "https://doi.org/10.1016/j.jad.2020.08.042" </w:instrText>
      </w:r>
      <w:r>
        <w:fldChar w:fldCharType="separate"/>
      </w:r>
      <w:r>
        <w:rPr>
          <w:rStyle w:val="5"/>
        </w:rPr>
        <w:t>https://doi.org/10.1016/j.jad.2020.08.042</w:t>
      </w:r>
      <w:r>
        <w:rPr>
          <w:rStyle w:val="5"/>
        </w:rPr>
        <w:fldChar w:fldCharType="end"/>
      </w:r>
    </w:p>
    <w:p w14:paraId="4AF5F0C0">
      <w:pPr>
        <w:pStyle w:val="13"/>
      </w:pPr>
      <w:r>
        <w:t xml:space="preserve"> </w:t>
      </w:r>
    </w:p>
    <w:p w14:paraId="5821D50F">
      <w:pPr>
        <w:pStyle w:val="13"/>
      </w:pPr>
      <w:r>
        <w:t>González, T., de la Rubia, M. A., Hincz, K. P., et al. (2020).</w:t>
      </w:r>
    </w:p>
    <w:p w14:paraId="4F540CA4">
      <w:pPr>
        <w:pStyle w:val="13"/>
      </w:pPr>
    </w:p>
    <w:p w14:paraId="24F77C17">
      <w:pPr>
        <w:pStyle w:val="13"/>
      </w:pPr>
      <w:r>
        <w:t>Influencia del COVID-19 en el rendimiento de los estudiantes. Ordenadores en el comportamiento humano, 117.</w:t>
      </w:r>
    </w:p>
    <w:p w14:paraId="45603773">
      <w:pPr>
        <w:pStyle w:val="13"/>
      </w:pPr>
      <w:r>
        <w:fldChar w:fldCharType="begin"/>
      </w:r>
      <w:r>
        <w:instrText xml:space="preserve"> HYPERLINK "https://doi.org/10.1016/j.chb.2020.106713" </w:instrText>
      </w:r>
      <w:r>
        <w:fldChar w:fldCharType="separate"/>
      </w:r>
      <w:r>
        <w:rPr>
          <w:rStyle w:val="5"/>
        </w:rPr>
        <w:t>https://doi.org/10.1016/j.chb.2020.106713</w:t>
      </w:r>
      <w:r>
        <w:rPr>
          <w:rStyle w:val="5"/>
        </w:rPr>
        <w:fldChar w:fldCharType="end"/>
      </w:r>
    </w:p>
    <w:p w14:paraId="173C205B">
      <w:pPr>
        <w:pStyle w:val="13"/>
      </w:pPr>
      <w:r>
        <w:t xml:space="preserve"> </w:t>
      </w:r>
    </w:p>
    <w:p w14:paraId="78B1F3E9">
      <w:pPr>
        <w:pStyle w:val="13"/>
      </w:pPr>
      <w:r>
        <w:t>Hussein, E., Daoud, S., Alrabaiah, H., &amp; Badawi, R. (2020).</w:t>
      </w:r>
    </w:p>
    <w:p w14:paraId="5DE71BF7">
      <w:pPr>
        <w:pStyle w:val="13"/>
        <w:rPr>
          <w:lang w:val="en-US"/>
        </w:rPr>
      </w:pPr>
      <w:r>
        <w:rPr>
          <w:lang w:val="en-US"/>
        </w:rPr>
        <w:t>Exploring undergraduate students’ attitudes towards emergency online learning. Children and Youth Services Review, 119.</w:t>
      </w:r>
    </w:p>
    <w:p w14:paraId="0628C959">
      <w:pPr>
        <w:pStyle w:val="13"/>
        <w:rPr>
          <w:lang w:val="en-US"/>
        </w:rPr>
      </w:pPr>
      <w:r>
        <w:fldChar w:fldCharType="begin"/>
      </w:r>
      <w:r>
        <w:instrText xml:space="preserve"> HYPERLINK "https://doi.org/10.1016/j.childyouth.2020.105699" </w:instrText>
      </w:r>
      <w:r>
        <w:fldChar w:fldCharType="separate"/>
      </w:r>
      <w:r>
        <w:rPr>
          <w:rStyle w:val="5"/>
          <w:lang w:val="en-US"/>
        </w:rPr>
        <w:t>https://doi.org/10.1016/j.childyouth.2020.105699</w:t>
      </w:r>
      <w:r>
        <w:rPr>
          <w:rStyle w:val="5"/>
          <w:lang w:val="en-US"/>
        </w:rPr>
        <w:fldChar w:fldCharType="end"/>
      </w:r>
    </w:p>
    <w:p w14:paraId="65C0FD0C">
      <w:pPr>
        <w:pStyle w:val="13"/>
        <w:rPr>
          <w:lang w:val="en-US"/>
        </w:rPr>
      </w:pPr>
      <w:r>
        <w:rPr>
          <w:lang w:val="en-US"/>
        </w:rPr>
        <w:t xml:space="preserve"> </w:t>
      </w:r>
    </w:p>
    <w:p w14:paraId="37B8AB86">
      <w:pPr>
        <w:pStyle w:val="13"/>
      </w:pPr>
      <w:r>
        <w:t>Organización Internacional del Trabajo. (2021).</w:t>
      </w:r>
    </w:p>
    <w:p w14:paraId="4298F850">
      <w:pPr>
        <w:pStyle w:val="13"/>
      </w:pPr>
      <w:r>
        <w:t>Juventud y COVID-19: Impactos en el empleo, la educación y los derechos.</w:t>
      </w:r>
    </w:p>
    <w:p w14:paraId="017AFD97">
      <w:pPr>
        <w:pStyle w:val="13"/>
      </w:pPr>
      <w:r>
        <w:fldChar w:fldCharType="begin"/>
      </w:r>
      <w:r>
        <w:instrText xml:space="preserve"> HYPERLINK "https://www.ilo.org" </w:instrText>
      </w:r>
      <w:r>
        <w:fldChar w:fldCharType="separate"/>
      </w:r>
      <w:r>
        <w:rPr>
          <w:rStyle w:val="5"/>
        </w:rPr>
        <w:t>https://www.ilo.org</w:t>
      </w:r>
      <w:r>
        <w:rPr>
          <w:rStyle w:val="5"/>
        </w:rPr>
        <w:fldChar w:fldCharType="end"/>
      </w:r>
    </w:p>
    <w:p w14:paraId="665F4C3D">
      <w:pPr>
        <w:pStyle w:val="13"/>
      </w:pPr>
      <w:r>
        <w:t xml:space="preserve"> </w:t>
      </w:r>
    </w:p>
    <w:p w14:paraId="70FCBDD0">
      <w:pPr>
        <w:pStyle w:val="13"/>
      </w:pPr>
      <w:r>
        <w:t xml:space="preserve"> </w:t>
      </w:r>
    </w:p>
    <w:p w14:paraId="2B0AD152">
      <w:pPr>
        <w:pStyle w:val="13"/>
      </w:pPr>
      <w:r>
        <w:t>Kapasia, N., Paul, P., Roy, A., et al. (2020).</w:t>
      </w:r>
    </w:p>
    <w:p w14:paraId="590CFAE6">
      <w:pPr>
        <w:pStyle w:val="13"/>
      </w:pPr>
      <w:r>
        <w:t>Impacto del confinamiento en el estado de aprendizaje de los estudiantes de grado. Revisión de los Servicios para Niños y Jóvenes, 116.</w:t>
      </w:r>
    </w:p>
    <w:p w14:paraId="620227AA">
      <w:pPr>
        <w:pStyle w:val="13"/>
      </w:pPr>
      <w:r>
        <w:fldChar w:fldCharType="begin"/>
      </w:r>
      <w:r>
        <w:instrText xml:space="preserve"> HYPERLINK "https://doi.org/10.1016/j.childyouth.2020.105194" </w:instrText>
      </w:r>
      <w:r>
        <w:fldChar w:fldCharType="separate"/>
      </w:r>
      <w:r>
        <w:rPr>
          <w:rStyle w:val="5"/>
        </w:rPr>
        <w:t>https://doi.org/10.1016/j.childyouth.2020.105194</w:t>
      </w:r>
      <w:r>
        <w:rPr>
          <w:rStyle w:val="5"/>
        </w:rPr>
        <w:fldChar w:fldCharType="end"/>
      </w:r>
    </w:p>
    <w:p w14:paraId="07B883FF">
      <w:pPr>
        <w:pStyle w:val="13"/>
      </w:pPr>
      <w:r>
        <w:t xml:space="preserve"> </w:t>
      </w:r>
    </w:p>
    <w:p w14:paraId="4CAC7BF1">
      <w:pPr>
        <w:pStyle w:val="13"/>
      </w:pPr>
      <w:r>
        <w:t>Lederman, D. (2020).</w:t>
      </w:r>
    </w:p>
    <w:p w14:paraId="101BB022">
      <w:pPr>
        <w:pStyle w:val="13"/>
      </w:pPr>
      <w:r>
        <w:t>¿Será el cambio a la enseñanza a distancia una ventaja o una perdición? Dentro de la educación superior.</w:t>
      </w:r>
    </w:p>
    <w:p w14:paraId="1140CB31">
      <w:pPr>
        <w:pStyle w:val="13"/>
      </w:pPr>
      <w:r>
        <w:fldChar w:fldCharType="begin"/>
      </w:r>
      <w:r>
        <w:instrText xml:space="preserve"> HYPERLINK "https://www.insidehighered.com" </w:instrText>
      </w:r>
      <w:r>
        <w:fldChar w:fldCharType="separate"/>
      </w:r>
      <w:r>
        <w:rPr>
          <w:rStyle w:val="5"/>
        </w:rPr>
        <w:t>https://www.insidehighered.com</w:t>
      </w:r>
      <w:r>
        <w:rPr>
          <w:rStyle w:val="5"/>
        </w:rPr>
        <w:fldChar w:fldCharType="end"/>
      </w:r>
    </w:p>
    <w:p w14:paraId="7DBFCB2C">
      <w:pPr>
        <w:pStyle w:val="13"/>
      </w:pPr>
      <w:r>
        <w:t xml:space="preserve"> </w:t>
      </w:r>
    </w:p>
    <w:p w14:paraId="41E255EA">
      <w:pPr>
        <w:pStyle w:val="13"/>
      </w:pPr>
      <w:r>
        <w:t>Mahdy, M. A. A. (2020).</w:t>
      </w:r>
    </w:p>
    <w:p w14:paraId="2306C076">
      <w:pPr>
        <w:pStyle w:val="13"/>
      </w:pPr>
      <w:r>
        <w:t>El impacto de la pandemia de COVID-19 en los estudiantes de educación superior. Revista de Educación Médica Veterinaria, 47(6).</w:t>
      </w:r>
    </w:p>
    <w:p w14:paraId="55122929">
      <w:pPr>
        <w:pStyle w:val="13"/>
      </w:pPr>
      <w:r>
        <w:fldChar w:fldCharType="begin"/>
      </w:r>
      <w:r>
        <w:instrText xml:space="preserve"> HYPERLINK "https://doi.org/10.3138/jvme-2020-0095" </w:instrText>
      </w:r>
      <w:r>
        <w:fldChar w:fldCharType="separate"/>
      </w:r>
      <w:r>
        <w:rPr>
          <w:rStyle w:val="5"/>
        </w:rPr>
        <w:t>https://doi.org/10.3138/jvme-2020-0095</w:t>
      </w:r>
      <w:r>
        <w:rPr>
          <w:rStyle w:val="5"/>
        </w:rPr>
        <w:fldChar w:fldCharType="end"/>
      </w:r>
    </w:p>
    <w:p w14:paraId="34C1EFDF">
      <w:pPr>
        <w:pStyle w:val="13"/>
      </w:pPr>
      <w:r>
        <w:t xml:space="preserve"> </w:t>
      </w:r>
    </w:p>
    <w:p w14:paraId="0F1C2005">
      <w:pPr>
        <w:pStyle w:val="13"/>
      </w:pPr>
      <w:r>
        <w:t>Means, B., &amp; Neisler, J. (2021).</w:t>
      </w:r>
    </w:p>
    <w:p w14:paraId="450529C5">
      <w:pPr>
        <w:pStyle w:val="13"/>
      </w:pPr>
      <w:r>
        <w:t>Enseñando y aprendiendo en tiempos de COVID. Revista de Aprendizaje en Línea, 25(1).</w:t>
      </w:r>
    </w:p>
    <w:p w14:paraId="72204F1E">
      <w:pPr>
        <w:pStyle w:val="13"/>
      </w:pPr>
      <w:r>
        <w:fldChar w:fldCharType="begin"/>
      </w:r>
      <w:r>
        <w:instrText xml:space="preserve"> HYPERLINK "https://doi.org/10.24059/olj.v25i1.2496" </w:instrText>
      </w:r>
      <w:r>
        <w:fldChar w:fldCharType="separate"/>
      </w:r>
      <w:r>
        <w:rPr>
          <w:rStyle w:val="5"/>
        </w:rPr>
        <w:t>https://doi.org/10.24059/olj.v25i1.2496</w:t>
      </w:r>
      <w:r>
        <w:rPr>
          <w:rStyle w:val="5"/>
        </w:rPr>
        <w:fldChar w:fldCharType="end"/>
      </w:r>
    </w:p>
    <w:p w14:paraId="5C8828F5">
      <w:pPr>
        <w:pStyle w:val="13"/>
        <w:rPr>
          <w:lang w:val="en-US"/>
        </w:rPr>
      </w:pPr>
      <w:r>
        <w:rPr>
          <w:lang w:val="en-US"/>
        </w:rPr>
        <w:t>Mishra, L., Gupta, T., &amp; Shree, A. (2020).</w:t>
      </w:r>
    </w:p>
    <w:p w14:paraId="6E9830F8">
      <w:pPr>
        <w:pStyle w:val="13"/>
      </w:pPr>
      <w:r>
        <w:t>Enseñanza-aprendizaje online en la educación superior durante el confinamiento. Revista Internacional de Investigación Educativa Abierta, 1.</w:t>
      </w:r>
    </w:p>
    <w:p w14:paraId="5F9B7E7F">
      <w:pPr>
        <w:pStyle w:val="13"/>
      </w:pPr>
      <w:r>
        <w:fldChar w:fldCharType="begin"/>
      </w:r>
      <w:r>
        <w:instrText xml:space="preserve"> HYPERLINK "https://doi.org/10.1016/j.ijedro.2020.100012" </w:instrText>
      </w:r>
      <w:r>
        <w:fldChar w:fldCharType="separate"/>
      </w:r>
      <w:r>
        <w:rPr>
          <w:rStyle w:val="5"/>
        </w:rPr>
        <w:t>https://doi.org/10.1016/j.ijedro.2020.100012</w:t>
      </w:r>
      <w:r>
        <w:rPr>
          <w:rStyle w:val="5"/>
        </w:rPr>
        <w:fldChar w:fldCharType="end"/>
      </w:r>
    </w:p>
    <w:p w14:paraId="6B50B742">
      <w:pPr>
        <w:pStyle w:val="13"/>
      </w:pPr>
      <w:r>
        <w:t xml:space="preserve"> </w:t>
      </w:r>
    </w:p>
    <w:p w14:paraId="1293591D">
      <w:pPr>
        <w:pStyle w:val="13"/>
      </w:pPr>
      <w:r>
        <w:t>OECD. (2021).</w:t>
      </w:r>
    </w:p>
    <w:p w14:paraId="39CE6402">
      <w:pPr>
        <w:pStyle w:val="13"/>
      </w:pPr>
      <w:r>
        <w:t>El estado de la educación superior durante COVID-19.</w:t>
      </w:r>
    </w:p>
    <w:p w14:paraId="3DDF7C97">
      <w:pPr>
        <w:pStyle w:val="13"/>
        <w:rPr>
          <w:lang w:val="fr-FR"/>
        </w:rPr>
      </w:pPr>
      <w:r>
        <w:fldChar w:fldCharType="begin"/>
      </w:r>
      <w:r>
        <w:instrText xml:space="preserve"> HYPERLINK "https://www.oecd.org" </w:instrText>
      </w:r>
      <w:r>
        <w:fldChar w:fldCharType="separate"/>
      </w:r>
      <w:r>
        <w:rPr>
          <w:rStyle w:val="5"/>
          <w:lang w:val="fr-FR"/>
        </w:rPr>
        <w:t>https://www.oecd.org</w:t>
      </w:r>
      <w:r>
        <w:rPr>
          <w:rStyle w:val="5"/>
          <w:lang w:val="fr-FR"/>
        </w:rPr>
        <w:fldChar w:fldCharType="end"/>
      </w:r>
    </w:p>
    <w:p w14:paraId="41BB7ADB">
      <w:pPr>
        <w:pStyle w:val="13"/>
        <w:rPr>
          <w:lang w:val="fr-FR"/>
        </w:rPr>
      </w:pPr>
      <w:r>
        <w:rPr>
          <w:lang w:val="fr-FR"/>
        </w:rPr>
        <w:t xml:space="preserve"> </w:t>
      </w:r>
    </w:p>
    <w:p w14:paraId="506500C5">
      <w:pPr>
        <w:pStyle w:val="13"/>
        <w:rPr>
          <w:lang w:val="fr-FR"/>
        </w:rPr>
      </w:pPr>
      <w:r>
        <w:rPr>
          <w:lang w:val="fr-FR"/>
        </w:rPr>
        <w:t>Owusu-Fordjour, C., Koomson, C. K., &amp; Hanson, D. (2020).</w:t>
      </w:r>
    </w:p>
    <w:p w14:paraId="3E34CA1B">
      <w:pPr>
        <w:pStyle w:val="13"/>
      </w:pPr>
    </w:p>
    <w:p w14:paraId="4DDB5DE8">
      <w:pPr>
        <w:pStyle w:val="13"/>
      </w:pPr>
      <w:r>
        <w:t>Impacto del COVID-19 en el aprendizaje. Revista Africana de Investigación Educativa, 8(3), 88–101.</w:t>
      </w:r>
    </w:p>
    <w:p w14:paraId="73AE6D09">
      <w:pPr>
        <w:pStyle w:val="13"/>
        <w:rPr>
          <w:lang w:val="en-US"/>
        </w:rPr>
      </w:pPr>
      <w:r>
        <w:fldChar w:fldCharType="begin"/>
      </w:r>
      <w:r>
        <w:instrText xml:space="preserve"> HYPERLINK "https://doi.org/10.30918/AERJ.83.20.056" </w:instrText>
      </w:r>
      <w:r>
        <w:fldChar w:fldCharType="separate"/>
      </w:r>
      <w:r>
        <w:rPr>
          <w:rStyle w:val="5"/>
          <w:lang w:val="en-US"/>
        </w:rPr>
        <w:t>https://doi.org/10.30918/AERJ.83.20.056</w:t>
      </w:r>
      <w:r>
        <w:rPr>
          <w:rStyle w:val="5"/>
          <w:lang w:val="en-US"/>
        </w:rPr>
        <w:fldChar w:fldCharType="end"/>
      </w:r>
    </w:p>
    <w:p w14:paraId="0599F7B9">
      <w:pPr>
        <w:pStyle w:val="13"/>
        <w:rPr>
          <w:lang w:val="en-US"/>
        </w:rPr>
      </w:pPr>
      <w:r>
        <w:rPr>
          <w:lang w:val="en-US"/>
        </w:rPr>
        <w:t xml:space="preserve"> </w:t>
      </w:r>
    </w:p>
    <w:p w14:paraId="7EC114A6">
      <w:pPr>
        <w:pStyle w:val="13"/>
        <w:rPr>
          <w:lang w:val="en-US"/>
        </w:rPr>
      </w:pPr>
      <w:r>
        <w:rPr>
          <w:lang w:val="en-US"/>
        </w:rPr>
        <w:t>Pokhrel, S., &amp; Chhetri, R. (2021).</w:t>
      </w:r>
    </w:p>
    <w:p w14:paraId="50421718">
      <w:pPr>
        <w:pStyle w:val="13"/>
      </w:pPr>
      <w:r>
        <w:t>Revisión bibliográfica sobre el impacto de la COVID-19 en la enseñanza y el aprendizaje. Educación Superior para el Futuro, 8(1).</w:t>
      </w:r>
    </w:p>
    <w:p w14:paraId="127CD80D">
      <w:pPr>
        <w:pStyle w:val="13"/>
      </w:pPr>
      <w:r>
        <w:fldChar w:fldCharType="begin"/>
      </w:r>
      <w:r>
        <w:instrText xml:space="preserve"> HYPERLINK "https://doi.org/10.1177/2347631120983481" </w:instrText>
      </w:r>
      <w:r>
        <w:fldChar w:fldCharType="separate"/>
      </w:r>
      <w:r>
        <w:rPr>
          <w:rStyle w:val="5"/>
        </w:rPr>
        <w:t>https://doi.org/10.1177/2347631120983481</w:t>
      </w:r>
      <w:r>
        <w:rPr>
          <w:rStyle w:val="5"/>
        </w:rPr>
        <w:fldChar w:fldCharType="end"/>
      </w:r>
    </w:p>
    <w:p w14:paraId="5A792684">
      <w:pPr>
        <w:pStyle w:val="13"/>
      </w:pPr>
      <w:r>
        <w:t xml:space="preserve"> </w:t>
      </w:r>
    </w:p>
    <w:p w14:paraId="74C76DD7">
      <w:pPr>
        <w:pStyle w:val="13"/>
      </w:pPr>
      <w:r>
        <w:t>Son, C., Hegde, S., Smith, A., et al. (2020).</w:t>
      </w:r>
    </w:p>
    <w:p w14:paraId="21CDD3C8">
      <w:pPr>
        <w:pStyle w:val="13"/>
        <w:rPr>
          <w:lang w:val="en-US"/>
        </w:rPr>
      </w:pPr>
      <w:r>
        <w:t xml:space="preserve">Efectos del COVID-19 en la salud mental de los estudiantes universitarios. </w:t>
      </w:r>
      <w:r>
        <w:rPr>
          <w:lang w:val="en-US"/>
        </w:rPr>
        <w:t>Journal of Medical Internet Research, 22(9).</w:t>
      </w:r>
    </w:p>
    <w:p w14:paraId="7042711A">
      <w:pPr>
        <w:pStyle w:val="13"/>
        <w:rPr>
          <w:lang w:val="en-US"/>
        </w:rPr>
      </w:pPr>
      <w:r>
        <w:fldChar w:fldCharType="begin"/>
      </w:r>
      <w:r>
        <w:instrText xml:space="preserve"> HYPERLINK "https://doi.org/10.2196/21279" </w:instrText>
      </w:r>
      <w:r>
        <w:fldChar w:fldCharType="separate"/>
      </w:r>
      <w:r>
        <w:rPr>
          <w:rStyle w:val="5"/>
          <w:lang w:val="en-US"/>
        </w:rPr>
        <w:t>https://doi.org/10.2196/21279</w:t>
      </w:r>
      <w:r>
        <w:rPr>
          <w:rStyle w:val="5"/>
          <w:lang w:val="en-US"/>
        </w:rPr>
        <w:fldChar w:fldCharType="end"/>
      </w:r>
    </w:p>
    <w:p w14:paraId="3FF9DD4B">
      <w:pPr>
        <w:pStyle w:val="13"/>
        <w:rPr>
          <w:lang w:val="en-US"/>
        </w:rPr>
      </w:pPr>
      <w:r>
        <w:rPr>
          <w:lang w:val="en-US"/>
        </w:rPr>
        <w:t xml:space="preserve"> </w:t>
      </w:r>
    </w:p>
    <w:p w14:paraId="6FAB60FB">
      <w:pPr>
        <w:pStyle w:val="13"/>
      </w:pPr>
      <w:r>
        <w:rPr>
          <w:lang w:val="en-US"/>
        </w:rPr>
        <w:t xml:space="preserve">World Bank. </w:t>
      </w:r>
      <w:r>
        <w:t>(2020).</w:t>
      </w:r>
    </w:p>
    <w:p w14:paraId="1CB47C1D">
      <w:pPr>
        <w:pStyle w:val="13"/>
      </w:pPr>
      <w:r>
        <w:t>La pandemia de COVID-19: Impactos en la educación.</w:t>
      </w:r>
    </w:p>
    <w:p w14:paraId="530A32FC">
      <w:pPr>
        <w:pStyle w:val="13"/>
        <w:rPr>
          <w:lang w:val="en-US"/>
        </w:rPr>
      </w:pPr>
      <w:r>
        <w:fldChar w:fldCharType="begin"/>
      </w:r>
      <w:r>
        <w:instrText xml:space="preserve"> HYPERLINK "https://www.worldbank.org" </w:instrText>
      </w:r>
      <w:r>
        <w:fldChar w:fldCharType="separate"/>
      </w:r>
      <w:r>
        <w:rPr>
          <w:rStyle w:val="5"/>
          <w:lang w:val="en-US"/>
        </w:rPr>
        <w:t>https://www.worldbank.org</w:t>
      </w:r>
      <w:r>
        <w:rPr>
          <w:rStyle w:val="5"/>
          <w:lang w:val="en-US"/>
        </w:rPr>
        <w:fldChar w:fldCharType="end"/>
      </w:r>
    </w:p>
    <w:p w14:paraId="4952CE34">
      <w:pPr>
        <w:pStyle w:val="13"/>
        <w:rPr>
          <w:lang w:val="en-US"/>
        </w:rPr>
      </w:pPr>
      <w:r>
        <w:rPr>
          <w:lang w:val="en-US"/>
        </w:rPr>
        <w:t xml:space="preserve"> </w:t>
      </w:r>
    </w:p>
    <w:p w14:paraId="08BD86DF">
      <w:pPr>
        <w:pStyle w:val="13"/>
        <w:rPr>
          <w:lang w:val="en-US"/>
        </w:rPr>
      </w:pPr>
      <w:r>
        <w:rPr>
          <w:lang w:val="en-US"/>
        </w:rPr>
        <w:t>World Health Organization. (2020).</w:t>
      </w:r>
    </w:p>
    <w:p w14:paraId="69EBD4A7">
      <w:pPr>
        <w:pStyle w:val="13"/>
        <w:rPr>
          <w:lang w:val="en-US"/>
        </w:rPr>
      </w:pPr>
      <w:r>
        <w:rPr>
          <w:lang w:val="en-US"/>
        </w:rPr>
        <w:t>Mental health and COVID-19.</w:t>
      </w:r>
    </w:p>
    <w:p w14:paraId="1749FAFD">
      <w:pPr>
        <w:pStyle w:val="13"/>
        <w:rPr>
          <w:lang w:val="en-US"/>
        </w:rPr>
      </w:pPr>
      <w:r>
        <w:fldChar w:fldCharType="begin"/>
      </w:r>
      <w:r>
        <w:instrText xml:space="preserve"> HYPERLINK "https://www.who.int" </w:instrText>
      </w:r>
      <w:r>
        <w:fldChar w:fldCharType="separate"/>
      </w:r>
      <w:r>
        <w:rPr>
          <w:rStyle w:val="5"/>
          <w:lang w:val="en-US"/>
        </w:rPr>
        <w:t>https://www.who.int</w:t>
      </w:r>
      <w:r>
        <w:rPr>
          <w:rStyle w:val="5"/>
          <w:lang w:val="en-US"/>
        </w:rPr>
        <w:fldChar w:fldCharType="end"/>
      </w:r>
    </w:p>
    <w:p w14:paraId="0C2E7A1B">
      <w:pPr>
        <w:pStyle w:val="13"/>
        <w:rPr>
          <w:lang w:val="en-US"/>
        </w:rPr>
      </w:pPr>
      <w:r>
        <w:rPr>
          <w:lang w:val="en-US"/>
        </w:rPr>
        <w:t xml:space="preserve"> </w:t>
      </w:r>
    </w:p>
    <w:p w14:paraId="6E0F0824">
      <w:pPr>
        <w:pStyle w:val="13"/>
      </w:pPr>
      <w:r>
        <w:t>Tadesse, S., &amp; Muluye, W. (2020).</w:t>
      </w:r>
    </w:p>
    <w:p w14:paraId="51B83EF8">
      <w:pPr>
        <w:pStyle w:val="13"/>
        <w:rPr>
          <w:lang w:val="en-US"/>
        </w:rPr>
      </w:pPr>
      <w:r>
        <w:t xml:space="preserve">Impacto de la pandemia de COVID-19 en el sistema educativo. </w:t>
      </w:r>
      <w:r>
        <w:rPr>
          <w:lang w:val="en-US"/>
        </w:rPr>
        <w:t>Cogent Education, 7(1).</w:t>
      </w:r>
    </w:p>
    <w:p w14:paraId="24548D88">
      <w:pPr>
        <w:pStyle w:val="13"/>
        <w:rPr>
          <w:lang w:val="en-US"/>
        </w:rPr>
      </w:pPr>
      <w:r>
        <w:fldChar w:fldCharType="begin"/>
      </w:r>
      <w:r>
        <w:instrText xml:space="preserve"> HYPERLINK "https://doi.org/10.1080/2331186X.2020.1863944" </w:instrText>
      </w:r>
      <w:r>
        <w:fldChar w:fldCharType="separate"/>
      </w:r>
      <w:r>
        <w:rPr>
          <w:rStyle w:val="5"/>
          <w:lang w:val="en-US"/>
        </w:rPr>
        <w:t>https://doi.org/10.1080/2331186X.2020.1863944</w:t>
      </w:r>
      <w:r>
        <w:rPr>
          <w:rStyle w:val="5"/>
          <w:lang w:val="en-US"/>
        </w:rPr>
        <w:fldChar w:fldCharType="end"/>
      </w:r>
    </w:p>
    <w:p w14:paraId="5AC66149">
      <w:pPr>
        <w:pStyle w:val="13"/>
        <w:rPr>
          <w:lang w:val="en-US"/>
        </w:rPr>
      </w:pPr>
      <w:r>
        <w:rPr>
          <w:lang w:val="en-US"/>
        </w:rPr>
        <w:t xml:space="preserve"> </w:t>
      </w:r>
    </w:p>
    <w:p w14:paraId="078F2748">
      <w:pPr>
        <w:pStyle w:val="13"/>
      </w:pPr>
      <w:r>
        <w:t>Tejedor, S., Cervi, L., Pérez-Escoda, A., &amp; Jumbo, F. (2020).</w:t>
      </w:r>
    </w:p>
    <w:p w14:paraId="19E2AF01">
      <w:pPr>
        <w:pStyle w:val="13"/>
      </w:pPr>
      <w:r>
        <w:t>Alfabetización digital y educación superior durante la COVID-19. Education Sciences, 10(11).</w:t>
      </w:r>
    </w:p>
    <w:p w14:paraId="28607588">
      <w:pPr>
        <w:pStyle w:val="13"/>
      </w:pPr>
      <w:r>
        <w:fldChar w:fldCharType="begin"/>
      </w:r>
      <w:r>
        <w:instrText xml:space="preserve"> HYPERLINK "https://doi.org/10.3390/educsci10110343" </w:instrText>
      </w:r>
      <w:r>
        <w:fldChar w:fldCharType="separate"/>
      </w:r>
      <w:r>
        <w:rPr>
          <w:rStyle w:val="5"/>
        </w:rPr>
        <w:t>https://doi.org/10.3390/educsci10110343</w:t>
      </w:r>
      <w:r>
        <w:rPr>
          <w:rStyle w:val="5"/>
        </w:rPr>
        <w:fldChar w:fldCharType="end"/>
      </w:r>
    </w:p>
    <w:p w14:paraId="1789B6C7">
      <w:pPr>
        <w:pStyle w:val="13"/>
      </w:pPr>
      <w:r>
        <w:t xml:space="preserve"> </w:t>
      </w:r>
    </w:p>
    <w:p w14:paraId="1935B801">
      <w:pPr>
        <w:pStyle w:val="13"/>
      </w:pPr>
      <w:r>
        <w:t>Toquero, C. M. (2020).</w:t>
      </w:r>
    </w:p>
    <w:p w14:paraId="3CE0AB52">
      <w:pPr>
        <w:pStyle w:val="13"/>
        <w:rPr>
          <w:lang w:val="en-US"/>
        </w:rPr>
      </w:pPr>
      <w:r>
        <w:t xml:space="preserve">Desafíos y oportunidades para la educación superior en medio de la COVID-19. </w:t>
      </w:r>
      <w:r>
        <w:rPr>
          <w:lang w:val="en-US"/>
        </w:rPr>
        <w:t>Revista Asiática de Educación a Distancia, 15(1).</w:t>
      </w:r>
    </w:p>
    <w:p w14:paraId="12194208">
      <w:pPr>
        <w:pStyle w:val="13"/>
        <w:rPr>
          <w:lang w:val="en-US"/>
        </w:rPr>
      </w:pPr>
      <w:r>
        <w:fldChar w:fldCharType="begin"/>
      </w:r>
      <w:r>
        <w:instrText xml:space="preserve"> HYPERLINK "https://asianjde.com" </w:instrText>
      </w:r>
      <w:r>
        <w:fldChar w:fldCharType="separate"/>
      </w:r>
      <w:r>
        <w:rPr>
          <w:rStyle w:val="5"/>
          <w:lang w:val="en-US"/>
        </w:rPr>
        <w:t>https://asianjde.com</w:t>
      </w:r>
      <w:r>
        <w:rPr>
          <w:rStyle w:val="5"/>
          <w:lang w:val="en-US"/>
        </w:rPr>
        <w:fldChar w:fldCharType="end"/>
      </w:r>
    </w:p>
    <w:p w14:paraId="6E06ED31">
      <w:pPr>
        <w:pStyle w:val="13"/>
        <w:rPr>
          <w:lang w:val="en-US"/>
        </w:rPr>
      </w:pPr>
      <w:r>
        <w:rPr>
          <w:lang w:val="en-US"/>
        </w:rPr>
        <w:t>United Nations. (2020).</w:t>
      </w:r>
    </w:p>
    <w:p w14:paraId="1AC66B29">
      <w:pPr>
        <w:pStyle w:val="13"/>
        <w:rPr>
          <w:lang w:val="en-US"/>
        </w:rPr>
      </w:pPr>
      <w:r>
        <w:rPr>
          <w:lang w:val="en-US"/>
        </w:rPr>
        <w:t>Policy brief: Education during COVID-19 and beyond.</w:t>
      </w:r>
    </w:p>
    <w:p w14:paraId="4909CF32">
      <w:pPr>
        <w:pStyle w:val="13"/>
        <w:rPr>
          <w:lang w:val="fr-FR"/>
        </w:rPr>
      </w:pPr>
      <w:r>
        <w:fldChar w:fldCharType="begin"/>
      </w:r>
      <w:r>
        <w:instrText xml:space="preserve"> HYPERLINK "https://www.un.org" </w:instrText>
      </w:r>
      <w:r>
        <w:fldChar w:fldCharType="separate"/>
      </w:r>
      <w:r>
        <w:rPr>
          <w:rStyle w:val="5"/>
          <w:lang w:val="fr-FR"/>
        </w:rPr>
        <w:t>https://www.un.org</w:t>
      </w:r>
      <w:r>
        <w:rPr>
          <w:rStyle w:val="5"/>
          <w:lang w:val="fr-FR"/>
        </w:rPr>
        <w:fldChar w:fldCharType="end"/>
      </w:r>
    </w:p>
    <w:p w14:paraId="185EA010">
      <w:pPr>
        <w:pStyle w:val="13"/>
        <w:rPr>
          <w:lang w:val="fr-FR"/>
        </w:rPr>
      </w:pPr>
      <w:r>
        <w:rPr>
          <w:lang w:val="fr-FR"/>
        </w:rPr>
        <w:t xml:space="preserve"> </w:t>
      </w:r>
    </w:p>
    <w:p w14:paraId="012F32B3">
      <w:pPr>
        <w:pStyle w:val="13"/>
        <w:rPr>
          <w:lang w:val="fr-FR"/>
        </w:rPr>
      </w:pPr>
      <w:r>
        <w:rPr>
          <w:lang w:val="fr-FR"/>
        </w:rPr>
        <w:t>Zhai, Y., &amp; Du, X. (2020).</w:t>
      </w:r>
    </w:p>
    <w:p w14:paraId="0AB8A8F0">
      <w:pPr>
        <w:pStyle w:val="13"/>
        <w:rPr>
          <w:lang w:val="en-US"/>
        </w:rPr>
      </w:pPr>
      <w:r>
        <w:rPr>
          <w:lang w:val="en-US"/>
        </w:rPr>
        <w:t>Mental health care for international students. Journal of Affective Disorders, 277.</w:t>
      </w:r>
    </w:p>
    <w:p w14:paraId="29E0954C">
      <w:pPr>
        <w:pStyle w:val="13"/>
      </w:pPr>
      <w:r>
        <w:fldChar w:fldCharType="begin"/>
      </w:r>
      <w:r>
        <w:instrText xml:space="preserve"> HYPERLINK "https://doi.org/10.1016/j.jad.2020.05.109" </w:instrText>
      </w:r>
      <w:r>
        <w:fldChar w:fldCharType="separate"/>
      </w:r>
      <w:r>
        <w:rPr>
          <w:rStyle w:val="5"/>
          <w:lang w:val="en-US"/>
        </w:rPr>
        <w:t>https://doi.org/10.1016/j.jad.2020.05.109</w:t>
      </w:r>
      <w:r>
        <w:rPr>
          <w:rStyle w:val="5"/>
          <w:lang w:val="en-US"/>
        </w:rPr>
        <w:fldChar w:fldCharType="end"/>
      </w:r>
      <w:bookmarkStart w:id="0" w:name="_Hlk208786634"/>
      <w:bookmarkEnd w:id="0"/>
    </w:p>
    <w:sectPr>
      <w:headerReference r:id="rId9" w:type="first"/>
      <w:footerReference r:id="rId12" w:type="first"/>
      <w:headerReference r:id="rId7" w:type="default"/>
      <w:footerReference r:id="rId10" w:type="default"/>
      <w:headerReference r:id="rId8" w:type="even"/>
      <w:footerReference r:id="rId11" w:type="even"/>
      <w:pgSz w:w="12240" w:h="15840"/>
      <w:pgMar w:top="1417" w:right="1134" w:bottom="1417" w:left="1134" w:header="161" w:footer="10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UI"/>
    <w:panose1 w:val="00000000000000000000"/>
    <w:charset w:val="00"/>
    <w:family w:val="swiss"/>
    <w:pitch w:val="default"/>
    <w:sig w:usb0="00000000" w:usb1="00000000" w:usb2="00000000" w:usb3="00000000" w:csb0="0000019F" w:csb1="00000000"/>
  </w:font>
  <w:font w:name="Segoe UI">
    <w:panose1 w:val="020B0502040204020203"/>
    <w:charset w:val="00"/>
    <w:family w:val="auto"/>
    <w:pitch w:val="default"/>
    <w:sig w:usb0="E4002EFF" w:usb1="C000E47F"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0967548"/>
      <w:docPartObj>
        <w:docPartGallery w:val="autotext"/>
      </w:docPartObj>
    </w:sdtPr>
    <w:sdtContent>
      <w:p w14:paraId="0083B02F">
        <w:pPr>
          <w:pStyle w:val="8"/>
          <w:jc w:val="right"/>
        </w:pPr>
        <w:r>
          <w:fldChar w:fldCharType="begin"/>
        </w:r>
        <w:r>
          <w:instrText xml:space="preserve">PAGE   \* MERGEFORMAT</w:instrText>
        </w:r>
        <w:r>
          <w:fldChar w:fldCharType="separate"/>
        </w:r>
        <w:r>
          <w:rPr>
            <w:lang w:val="es-ES"/>
          </w:rPr>
          <w:t>2</w:t>
        </w:r>
        <w:r>
          <w:fldChar w:fldCharType="end"/>
        </w:r>
      </w:p>
    </w:sdtContent>
  </w:sdt>
  <w:p w14:paraId="79E9C53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0B201">
    <w:pPr>
      <w:tabs>
        <w:tab w:val="right" w:pos="9921"/>
      </w:tabs>
      <w:spacing w:after="0" w:line="259" w:lineRule="auto"/>
      <w:ind w:left="0" w:right="-166"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B81E9">
    <w:pPr>
      <w:tabs>
        <w:tab w:val="right" w:pos="9921"/>
      </w:tabs>
      <w:spacing w:after="0" w:line="259" w:lineRule="auto"/>
      <w:ind w:left="0" w:right="-166"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E3277">
    <w:pPr>
      <w:tabs>
        <w:tab w:val="right" w:pos="9921"/>
      </w:tabs>
      <w:spacing w:after="0" w:line="259" w:lineRule="auto"/>
      <w:ind w:left="0" w:right="-166"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03897">
    <w:pPr>
      <w:spacing w:after="236" w:line="259" w:lineRule="auto"/>
      <w:ind w:left="7788" w:firstLine="0"/>
      <w:jc w:val="left"/>
      <w:rPr>
        <w:lang w:val="pt-PT"/>
      </w:rPr>
    </w:pPr>
    <w:r>
      <w:rPr>
        <w:rFonts w:ascii="Calibri" w:hAnsi="Calibri" w:eastAsia="Calibri" w:cs="Calibri"/>
        <w:sz w:val="22"/>
      </w:rPr>
      <mc:AlternateContent>
        <mc:Choice Requires="wpg">
          <w:drawing>
            <wp:anchor distT="0" distB="0" distL="114300" distR="114300" simplePos="0" relativeHeight="251665408" behindDoc="0" locked="0" layoutInCell="1" allowOverlap="1">
              <wp:simplePos x="0" y="0"/>
              <wp:positionH relativeFrom="page">
                <wp:posOffset>139700</wp:posOffset>
              </wp:positionH>
              <wp:positionV relativeFrom="page">
                <wp:posOffset>102235</wp:posOffset>
              </wp:positionV>
              <wp:extent cx="7520940" cy="276225"/>
              <wp:effectExtent l="0" t="0" r="0" b="0"/>
              <wp:wrapSquare wrapText="bothSides"/>
              <wp:docPr id="1818081960" name="Group 21204"/>
              <wp:cNvGraphicFramePr/>
              <a:graphic xmlns:a="http://schemas.openxmlformats.org/drawingml/2006/main">
                <a:graphicData uri="http://schemas.microsoft.com/office/word/2010/wordprocessingGroup">
                  <wpg:wgp>
                    <wpg:cNvGrpSpPr/>
                    <wpg:grpSpPr>
                      <a:xfrm>
                        <a:off x="0" y="0"/>
                        <a:ext cx="7520940" cy="276199"/>
                        <a:chOff x="0" y="0"/>
                        <a:chExt cx="7520940" cy="276199"/>
                      </a:xfrm>
                    </wpg:grpSpPr>
                    <pic:pic xmlns:pic="http://schemas.openxmlformats.org/drawingml/2006/picture">
                      <pic:nvPicPr>
                        <pic:cNvPr id="1483314852" name="Picture 21205"/>
                        <pic:cNvPicPr/>
                      </pic:nvPicPr>
                      <pic:blipFill>
                        <a:blip r:embed="rId1"/>
                        <a:stretch>
                          <a:fillRect/>
                        </a:stretch>
                      </pic:blipFill>
                      <pic:spPr>
                        <a:xfrm>
                          <a:off x="0" y="79096"/>
                          <a:ext cx="7520940" cy="118872"/>
                        </a:xfrm>
                        <a:prstGeom prst="rect">
                          <a:avLst/>
                        </a:prstGeom>
                      </pic:spPr>
                    </pic:pic>
                    <wps:wsp>
                      <wps:cNvPr id="1192957743" name="Rectangle 21208"/>
                      <wps:cNvSpPr/>
                      <wps:spPr>
                        <a:xfrm>
                          <a:off x="91440" y="108084"/>
                          <a:ext cx="51841" cy="175277"/>
                        </a:xfrm>
                        <a:prstGeom prst="rect">
                          <a:avLst/>
                        </a:prstGeom>
                        <a:ln>
                          <a:noFill/>
                        </a:ln>
                      </wps:spPr>
                      <wps:txbx>
                        <w:txbxContent>
                          <w:p w14:paraId="3CE1063B">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91827165" name="Shape 21503"/>
                      <wps:cNvSpPr/>
                      <wps:spPr>
                        <a:xfrm>
                          <a:off x="12205" y="0"/>
                          <a:ext cx="7496175" cy="276199"/>
                        </a:xfrm>
                        <a:custGeom>
                          <a:avLst/>
                          <a:gdLst/>
                          <a:ahLst/>
                          <a:cxnLst/>
                          <a:rect l="0" t="0" r="0" b="0"/>
                          <a:pathLst>
                            <a:path w="7496175" h="276199">
                              <a:moveTo>
                                <a:pt x="0" y="0"/>
                              </a:moveTo>
                              <a:lnTo>
                                <a:pt x="7496175" y="0"/>
                              </a:lnTo>
                              <a:lnTo>
                                <a:pt x="7496175" y="276199"/>
                              </a:lnTo>
                              <a:lnTo>
                                <a:pt x="0" y="276199"/>
                              </a:lnTo>
                              <a:lnTo>
                                <a:pt x="0" y="0"/>
                              </a:lnTo>
                            </a:path>
                          </a:pathLst>
                        </a:custGeom>
                        <a:ln w="0" cap="flat">
                          <a:miter lim="127000"/>
                        </a:ln>
                      </wps:spPr>
                      <wps:style>
                        <a:lnRef idx="0">
                          <a:srgbClr val="000000">
                            <a:alpha val="0"/>
                          </a:srgbClr>
                        </a:lnRef>
                        <a:fillRef idx="1">
                          <a:srgbClr val="4E81BC"/>
                        </a:fillRef>
                        <a:effectRef idx="0">
                          <a:scrgbClr r="0" g="0" b="0"/>
                        </a:effectRef>
                        <a:fontRef idx="none"/>
                      </wps:style>
                      <wps:bodyPr/>
                    </wps:wsp>
                    <wps:wsp>
                      <wps:cNvPr id="571898312" name="Shape 21207"/>
                      <wps:cNvSpPr/>
                      <wps:spPr>
                        <a:xfrm>
                          <a:off x="12205" y="0"/>
                          <a:ext cx="7496175" cy="276199"/>
                        </a:xfrm>
                        <a:custGeom>
                          <a:avLst/>
                          <a:gdLst/>
                          <a:ahLst/>
                          <a:cxnLst/>
                          <a:rect l="0" t="0" r="0" b="0"/>
                          <a:pathLst>
                            <a:path w="7496175" h="276199">
                              <a:moveTo>
                                <a:pt x="0" y="276199"/>
                              </a:moveTo>
                              <a:lnTo>
                                <a:pt x="7496175" y="276199"/>
                              </a:lnTo>
                              <a:lnTo>
                                <a:pt x="7496175" y="0"/>
                              </a:lnTo>
                              <a:lnTo>
                                <a:pt x="0" y="0"/>
                              </a:lnTo>
                              <a:close/>
                            </a:path>
                          </a:pathLst>
                        </a:custGeom>
                        <a:ln w="25400" cap="flat">
                          <a:round/>
                        </a:ln>
                      </wps:spPr>
                      <wps:style>
                        <a:lnRef idx="1">
                          <a:srgbClr val="1B334E"/>
                        </a:lnRef>
                        <a:fillRef idx="0">
                          <a:srgbClr val="000000">
                            <a:alpha val="0"/>
                          </a:srgbClr>
                        </a:fillRef>
                        <a:effectRef idx="0">
                          <a:scrgbClr r="0" g="0" b="0"/>
                        </a:effectRef>
                        <a:fontRef idx="none"/>
                      </wps:style>
                      <wps:bodyPr/>
                    </wps:wsp>
                  </wpg:wgp>
                </a:graphicData>
              </a:graphic>
            </wp:anchor>
          </w:drawing>
        </mc:Choice>
        <mc:Fallback>
          <w:pict>
            <v:group id="Group 21204" o:spid="_x0000_s1026" o:spt="203" style="position:absolute;left:0pt;margin-left:11pt;margin-top:8.05pt;height:21.75pt;width:592.2pt;mso-position-horizontal-relative:page;mso-position-vertical-relative:page;mso-wrap-distance-bottom:0pt;mso-wrap-distance-left:9pt;mso-wrap-distance-right:9pt;mso-wrap-distance-top:0pt;z-index:251665408;mso-width-relative:page;mso-height-relative:page;" coordsize="7520940,276199" o:gfxdata="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">
              <o:lock v:ext="edit" aspectratio="f"/>
              <v:shape id="Picture 21205" o:spid="_x0000_s1026" o:spt="75" type="#_x0000_t75" style="position:absolute;left:0;top:79096;height:118872;width:7520940;" filled="f" o:preferrelative="t" stroked="f" coordsize="21600,21600" o:gfxdata="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k0&#10;GcEAAADjAAAADwAAAAAAAAABACAAAAAiAAAAZHJzL2Rvd25yZXYueG1sUEsBAhQAFAAAAAgAh07i&#10;QDMvBZ47AAAAOQAAABAAAAAAAAAAAQAgAAAAEAEAAGRycy9zaGFwZXhtbC54bWxQSwUGAAAAAAYA&#10;BgBbAQAAugMAAAAA&#10;">
                <v:fill on="f" focussize="0,0"/>
                <v:stroke on="f"/>
                <v:imagedata r:id="rId1" o:title=""/>
                <o:lock v:ext="edit" aspectratio="f"/>
              </v:shape>
              <v:rect id="Rectangle 21208" o:spid="_x0000_s1026" o:spt="1" style="position:absolute;left:91440;top:108084;height:175277;width:51841;" filled="f" stroked="f" coordsize="21600,21600" o:gfxdata="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DcXOwwAAAOMAAAAPAAAAAAAAAAEAIAAAACIAAABkcnMvZG93bnJldi54bWxQSwECFAAUAAAACACH&#10;TuJAMy8FnjsAAAA5AAAAEAAAAAAAAAABACAAAAASAQAAZHJzL3NoYXBleG1sLnhtbFBLBQYAAAAA&#10;BgAGAFsBAAC8AwAAAAA=&#10;">
                <v:fill on="f" focussize="0,0"/>
                <v:stroke on="f"/>
                <v:imagedata o:title=""/>
                <o:lock v:ext="edit" aspectratio="f"/>
                <v:textbox inset="0mm,0mm,0mm,0mm">
                  <w:txbxContent>
                    <w:p w14:paraId="3CE1063B">
                      <w:pPr>
                        <w:spacing w:after="160" w:line="259" w:lineRule="auto"/>
                        <w:ind w:left="0" w:firstLine="0"/>
                        <w:jc w:val="left"/>
                      </w:pPr>
                      <w:r>
                        <w:rPr>
                          <w:sz w:val="22"/>
                        </w:rPr>
                        <w:t xml:space="preserve"> </w:t>
                      </w:r>
                    </w:p>
                  </w:txbxContent>
                </v:textbox>
              </v:rect>
              <v:shape id="Shape 21503" o:spid="_x0000_s1026" o:spt="100" style="position:absolute;left:12205;top:0;height:276199;width:7496175;" fillcolor="#4E81BC" filled="t" stroked="f" coordsize="7496175,276199" o:gfxdata="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AsH&#10;Y8EAAADhAAAADwAAAAAAAAABACAAAAAiAAAAZHJzL2Rvd25yZXYueG1sUEsBAhQAFAAAAAgAh07i&#10;QDMvBZ47AAAAOQAAABAAAAAAAAAAAQAgAAAAEAEAAGRycy9zaGFwZXhtbC54bWxQSwUGAAAAAAYA&#10;BgBbAQAAugMAAAAA&#10;" path="m0,0l7496175,0,7496175,276199,0,276199,0,0e">
                <v:fill on="t" focussize="0,0"/>
                <v:stroke on="f" weight="0pt" miterlimit="1" joinstyle="miter"/>
                <v:imagedata o:title=""/>
                <o:lock v:ext="edit" aspectratio="f"/>
              </v:shape>
              <v:shape id="Shape 21207" o:spid="_x0000_s1026" o:spt="100" style="position:absolute;left:12205;top:0;height:276199;width:7496175;" filled="f" stroked="t" coordsize="7496175,276199" o:gfxdata="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Ne3wsQAAADiAAAADwAAAAAAAAABACAAAAAiAAAAZHJzL2Rvd25yZXYueG1sUEsBAhQAFAAAAAgA&#10;h07iQDMvBZ47AAAAOQAAABAAAAAAAAAAAQAgAAAAEwEAAGRycy9zaGFwZXhtbC54bWxQSwUGAAAA&#10;AAYABgBbAQAAvQMAAAAA&#10;" path="m0,276199l7496175,276199,7496175,0,0,0xe">
                <v:fill on="f" focussize="0,0"/>
                <v:stroke weight="2pt" color="#1B334E" miterlimit="8" joinstyle="round"/>
                <v:imagedata o:title=""/>
                <o:lock v:ext="edit" aspectratio="f"/>
              </v:shape>
              <w10:wrap type="square"/>
            </v:group>
          </w:pict>
        </mc:Fallback>
      </mc:AlternateContent>
    </w:r>
    <w:r>
      <w:rPr>
        <w:rFonts w:ascii="Cambria" w:hAnsi="Cambria" w:eastAsia="Cambria" w:cs="Cambria"/>
        <w:b/>
        <w:color w:val="17355D"/>
        <w:lang w:val="pt-PT"/>
      </w:rPr>
      <w:t>ISSN L 3072-9815</w:t>
    </w:r>
    <w:r>
      <w:rPr>
        <w:sz w:val="22"/>
        <w:lang w:val="pt-PT"/>
      </w:rPr>
      <w:t xml:space="preserve"> </w:t>
    </w:r>
  </w:p>
  <w:p w14:paraId="2197EF9E">
    <w:pPr>
      <w:tabs>
        <w:tab w:val="center" w:pos="3334"/>
        <w:tab w:val="center" w:pos="8770"/>
      </w:tabs>
      <w:spacing w:after="0" w:line="259" w:lineRule="auto"/>
      <w:ind w:left="0" w:firstLine="0"/>
      <w:jc w:val="left"/>
    </w:pPr>
    <w:r>
      <w:rPr>
        <w:rFonts w:ascii="Calibri" w:hAnsi="Calibri" w:eastAsia="Calibri" w:cs="Calibri"/>
        <w:sz w:val="22"/>
        <w:lang w:val="pt-PT"/>
      </w:rPr>
      <w:tab/>
    </w:r>
    <w:r>
      <w:rPr>
        <w:rFonts w:ascii="Cambria" w:hAnsi="Cambria" w:eastAsia="Cambria" w:cs="Cambria"/>
        <w:b/>
        <w:color w:val="17355D"/>
        <w:sz w:val="36"/>
        <w:lang w:val="pt-PT"/>
      </w:rPr>
      <w:t>Diálogos Educativos</w:t>
    </w:r>
    <w:r>
      <w:rPr>
        <w:sz w:val="22"/>
        <w:lang w:val="pt-PT"/>
      </w:rPr>
      <w:t xml:space="preserve"> </w:t>
    </w:r>
    <w:r>
      <w:rPr>
        <w:sz w:val="22"/>
        <w:lang w:val="pt-PT"/>
      </w:rPr>
      <w:tab/>
    </w:r>
    <w:r>
      <w:rPr>
        <w:rFonts w:ascii="Cambria" w:hAnsi="Cambria" w:eastAsia="Cambria" w:cs="Cambria"/>
        <w:sz w:val="22"/>
        <w:lang w:val="pt-PT"/>
      </w:rPr>
      <w:t xml:space="preserve">Vol.2. </w:t>
    </w:r>
    <w:r>
      <w:rPr>
        <w:rFonts w:ascii="Cambria" w:hAnsi="Cambria" w:eastAsia="Cambria" w:cs="Cambria"/>
        <w:sz w:val="22"/>
      </w:rPr>
      <w:t xml:space="preserve">NÚM 1.   </w:t>
    </w:r>
  </w:p>
  <w:p w14:paraId="5CD0567D">
    <w:pPr>
      <w:tabs>
        <w:tab w:val="center" w:pos="3257"/>
        <w:tab w:val="right" w:pos="9921"/>
      </w:tabs>
      <w:spacing w:after="9" w:line="259" w:lineRule="auto"/>
      <w:ind w:left="0" w:right="-22" w:firstLine="0"/>
      <w:jc w:val="left"/>
    </w:pPr>
    <w:r>
      <w:rPr>
        <w:rFonts w:ascii="Calibri" w:hAnsi="Calibri" w:eastAsia="Calibri" w:cs="Calibri"/>
        <w:sz w:val="22"/>
      </w:rPr>
      <w:tab/>
    </w:r>
    <w:r>
      <w:rPr>
        <w:rFonts w:ascii="Cambria" w:hAnsi="Cambria" w:eastAsia="Cambria" w:cs="Cambria"/>
        <w:sz w:val="22"/>
      </w:rPr>
      <w:t xml:space="preserve">Revista especializada en Ciencias de la Educación </w:t>
    </w:r>
    <w:r>
      <w:rPr>
        <w:sz w:val="22"/>
      </w:rPr>
      <w:t xml:space="preserve"> </w:t>
    </w:r>
    <w:r>
      <w:rPr>
        <w:sz w:val="22"/>
      </w:rPr>
      <w:tab/>
    </w:r>
    <w:r>
      <w:rPr>
        <w:rFonts w:ascii="Cambria" w:hAnsi="Cambria" w:eastAsia="Cambria" w:cs="Cambria"/>
        <w:sz w:val="22"/>
      </w:rPr>
      <w:t>Abril 2026 a marzo 2027</w:t>
    </w:r>
    <w:r>
      <w:rPr>
        <w:sz w:val="22"/>
      </w:rPr>
      <w:t xml:space="preserve"> </w:t>
    </w:r>
  </w:p>
  <w:p w14:paraId="3F92EE4C">
    <w:pPr>
      <w:spacing w:after="0" w:line="259" w:lineRule="auto"/>
      <w:ind w:left="8320" w:firstLine="0"/>
      <w:jc w:val="left"/>
    </w:pPr>
    <w:r>
      <w:rPr>
        <w:rFonts w:ascii="Calibri" w:hAnsi="Calibri" w:eastAsia="Calibri" w:cs="Calibri"/>
        <w:sz w:val="22"/>
      </w:rPr>
      <mc:AlternateContent>
        <mc:Choice Requires="wpg">
          <w:drawing>
            <wp:anchor distT="0" distB="0" distL="114300" distR="114300" simplePos="0" relativeHeight="251666432" behindDoc="0" locked="0" layoutInCell="1" allowOverlap="1">
              <wp:simplePos x="0" y="0"/>
              <wp:positionH relativeFrom="page">
                <wp:posOffset>285115</wp:posOffset>
              </wp:positionH>
              <wp:positionV relativeFrom="page">
                <wp:posOffset>1517650</wp:posOffset>
              </wp:positionV>
              <wp:extent cx="7272655" cy="133350"/>
              <wp:effectExtent l="0" t="0" r="0" b="0"/>
              <wp:wrapSquare wrapText="bothSides"/>
              <wp:docPr id="14525132" name="Group 21209"/>
              <wp:cNvGraphicFramePr/>
              <a:graphic xmlns:a="http://schemas.openxmlformats.org/drawingml/2006/main">
                <a:graphicData uri="http://schemas.microsoft.com/office/word/2010/wordprocessingGroup">
                  <wpg:wgp>
                    <wpg:cNvGrpSpPr/>
                    <wpg:grpSpPr>
                      <a:xfrm>
                        <a:off x="0" y="0"/>
                        <a:ext cx="7272656" cy="133350"/>
                        <a:chOff x="0" y="0"/>
                        <a:chExt cx="7272656" cy="133350"/>
                      </a:xfrm>
                    </wpg:grpSpPr>
                    <wps:wsp>
                      <wps:cNvPr id="1834684806" name="Shape 21210"/>
                      <wps:cNvSpPr/>
                      <wps:spPr>
                        <a:xfrm>
                          <a:off x="3810" y="0"/>
                          <a:ext cx="7267575" cy="57150"/>
                        </a:xfrm>
                        <a:custGeom>
                          <a:avLst/>
                          <a:gdLst/>
                          <a:ahLst/>
                          <a:cxnLst/>
                          <a:rect l="0" t="0" r="0" b="0"/>
                          <a:pathLst>
                            <a:path w="7267575" h="57150">
                              <a:moveTo>
                                <a:pt x="0" y="0"/>
                              </a:moveTo>
                              <a:lnTo>
                                <a:pt x="7267575" y="57150"/>
                              </a:lnTo>
                            </a:path>
                          </a:pathLst>
                        </a:custGeom>
                        <a:ln w="38100" cap="flat">
                          <a:round/>
                        </a:ln>
                      </wps:spPr>
                      <wps:style>
                        <a:lnRef idx="1">
                          <a:srgbClr val="006FC0"/>
                        </a:lnRef>
                        <a:fillRef idx="0">
                          <a:srgbClr val="000000">
                            <a:alpha val="0"/>
                          </a:srgbClr>
                        </a:fillRef>
                        <a:effectRef idx="0">
                          <a:scrgbClr r="0" g="0" b="0"/>
                        </a:effectRef>
                        <a:fontRef idx="none"/>
                      </wps:style>
                      <wps:bodyPr/>
                    </wps:wsp>
                    <wps:wsp>
                      <wps:cNvPr id="987193727" name="Shape 21211"/>
                      <wps:cNvSpPr/>
                      <wps:spPr>
                        <a:xfrm>
                          <a:off x="0" y="69850"/>
                          <a:ext cx="7272656" cy="63500"/>
                        </a:xfrm>
                        <a:custGeom>
                          <a:avLst/>
                          <a:gdLst/>
                          <a:ahLst/>
                          <a:cxnLst/>
                          <a:rect l="0" t="0" r="0" b="0"/>
                          <a:pathLst>
                            <a:path w="7272656" h="63500">
                              <a:moveTo>
                                <a:pt x="0" y="0"/>
                              </a:moveTo>
                              <a:lnTo>
                                <a:pt x="7272656" y="635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209" o:spid="_x0000_s1026" o:spt="203" style="position:absolute;left:0pt;margin-left:22.45pt;margin-top:119.5pt;height:10.5pt;width:572.65pt;mso-position-horizontal-relative:page;mso-position-vertical-relative:page;mso-wrap-distance-bottom:0pt;mso-wrap-distance-left:9pt;mso-wrap-distance-right:9pt;mso-wrap-distance-top:0pt;z-index:251666432;mso-width-relative:page;mso-height-relative:page;" coordsize="7272656,133350" o:gfxdata="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WchSo9oAAAALAQAADwAAAAAA&#10;AAABACAAAAAiAAAAZHJzL2Rvd25yZXYueG1sUEsBAhQAFAAAAAgAh07iQCPl/wS8AgAASAgAAA4A&#10;AAAAAAAAAQAgAAAAKQEAAGRycy9lMm9Eb2MueG1sUEsFBgAAAAAGAAYAWQEAAFcGAAAAAA==&#10;">
              <o:lock v:ext="edit" aspectratio="f"/>
              <v:shape id="Shape 21210" o:spid="_x0000_s1026" o:spt="100" style="position:absolute;left:3810;top:0;height:57150;width:7267575;" filled="f" stroked="t" coordsize="7267575,57150" o:gfxdata="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yFn&#10;psEAAADjAAAADwAAAAAAAAABACAAAAAiAAAAZHJzL2Rvd25yZXYueG1sUEsBAhQAFAAAAAgAh07i&#10;QDMvBZ47AAAAOQAAABAAAAAAAAAAAQAgAAAAEAEAAGRycy9zaGFwZXhtbC54bWxQSwUGAAAAAAYA&#10;BgBbAQAAugMAAAAA&#10;" path="m0,0l7267575,57150e">
                <v:fill on="f" focussize="0,0"/>
                <v:stroke weight="3pt" color="#006FC0" miterlimit="8" joinstyle="round"/>
                <v:imagedata o:title=""/>
                <o:lock v:ext="edit" aspectratio="f"/>
              </v:shape>
              <v:shape id="Shape 21211" o:spid="_x0000_s1026" o:spt="100" style="position:absolute;left:0;top:69850;height:63500;width:7272656;" filled="f" stroked="t" coordsize="7272656,63500" o:gfxdata="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vw&#10;FPrCAAAA4gAAAA8AAAAAAAAAAQAgAAAAIgAAAGRycy9kb3ducmV2LnhtbFBLAQIUABQAAAAIAIdO&#10;4kAzLwWeOwAAADkAAAAQAAAAAAAAAAEAIAAAABEBAABkcnMvc2hhcGV4bWwueG1sUEsFBgAAAAAG&#10;AAYAWwEAALsDAAAAAA==&#10;" path="m0,0l7272656,63500e">
                <v:fill on="f" focussize="0,0"/>
                <v:stroke color="#000000" miterlimit="8" joinstyle="round"/>
                <v:imagedata o:title=""/>
                <o:lock v:ext="edit" aspectratio="f"/>
              </v:shape>
              <w10:wrap type="square"/>
            </v:group>
          </w:pict>
        </mc:Fallback>
      </mc:AlternateContent>
    </w:r>
    <w:r>
      <w:rPr>
        <w:rFonts w:ascii="Times New Roman" w:hAnsi="Times New Roman" w:eastAsia="Times New Roman" w:cs="Times New Roman"/>
      </w:rPr>
      <w:t>pp.208-</w:t>
    </w:r>
    <w:r>
      <w:rPr>
        <w:sz w:val="22"/>
      </w:rPr>
      <w:t xml:space="preserve"> 24</w:t>
    </w:r>
    <w:r>
      <w:rPr>
        <w:rFonts w:hint="default"/>
        <w:sz w:val="22"/>
        <w:lang w:val="es-PA"/>
      </w:rPr>
      <w:t>1</w:t>
    </w:r>
    <w:r>
      <w:rPr>
        <w:sz w:val="22"/>
      </w:rPr>
      <w:t xml:space="preserve"> </w:t>
    </w:r>
  </w:p>
  <w:p w14:paraId="7D6020CE">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2F1B">
    <w:pPr>
      <w:tabs>
        <w:tab w:val="left" w:pos="8567"/>
      </w:tabs>
      <w:spacing w:after="236" w:line="259" w:lineRule="auto"/>
      <w:ind w:left="0" w:firstLine="0"/>
      <w:jc w:val="left"/>
      <w:rPr>
        <w:lang w:val="pt-PT"/>
      </w:rPr>
    </w:pPr>
    <w:r>
      <w:rPr>
        <w:rFonts w:ascii="Calibri" w:hAnsi="Calibri" w:eastAsia="Calibri" w:cs="Calibri"/>
        <w:sz w:val="22"/>
      </w:rPr>
      <mc:AlternateContent>
        <mc:Choice Requires="wpg">
          <w:drawing>
            <wp:anchor distT="0" distB="0" distL="114300" distR="114300" simplePos="0" relativeHeight="251661312" behindDoc="0" locked="0" layoutInCell="1" allowOverlap="1">
              <wp:simplePos x="0" y="0"/>
              <wp:positionH relativeFrom="page">
                <wp:posOffset>139700</wp:posOffset>
              </wp:positionH>
              <wp:positionV relativeFrom="page">
                <wp:posOffset>102235</wp:posOffset>
              </wp:positionV>
              <wp:extent cx="7520940" cy="276225"/>
              <wp:effectExtent l="0" t="0" r="0" b="0"/>
              <wp:wrapSquare wrapText="bothSides"/>
              <wp:docPr id="21204" name="Group 21204"/>
              <wp:cNvGraphicFramePr/>
              <a:graphic xmlns:a="http://schemas.openxmlformats.org/drawingml/2006/main">
                <a:graphicData uri="http://schemas.microsoft.com/office/word/2010/wordprocessingGroup">
                  <wpg:wgp>
                    <wpg:cNvGrpSpPr/>
                    <wpg:grpSpPr>
                      <a:xfrm>
                        <a:off x="0" y="0"/>
                        <a:ext cx="7520940" cy="276199"/>
                        <a:chOff x="0" y="0"/>
                        <a:chExt cx="7520940" cy="276199"/>
                      </a:xfrm>
                    </wpg:grpSpPr>
                    <pic:pic xmlns:pic="http://schemas.openxmlformats.org/drawingml/2006/picture">
                      <pic:nvPicPr>
                        <pic:cNvPr id="21205" name="Picture 21205"/>
                        <pic:cNvPicPr/>
                      </pic:nvPicPr>
                      <pic:blipFill>
                        <a:blip r:embed="rId1"/>
                        <a:stretch>
                          <a:fillRect/>
                        </a:stretch>
                      </pic:blipFill>
                      <pic:spPr>
                        <a:xfrm>
                          <a:off x="0" y="79096"/>
                          <a:ext cx="7520940" cy="118872"/>
                        </a:xfrm>
                        <a:prstGeom prst="rect">
                          <a:avLst/>
                        </a:prstGeom>
                      </pic:spPr>
                    </pic:pic>
                    <wps:wsp>
                      <wps:cNvPr id="21208" name="Rectangle 21208"/>
                      <wps:cNvSpPr/>
                      <wps:spPr>
                        <a:xfrm>
                          <a:off x="91440" y="108084"/>
                          <a:ext cx="51841" cy="175277"/>
                        </a:xfrm>
                        <a:prstGeom prst="rect">
                          <a:avLst/>
                        </a:prstGeom>
                        <a:ln>
                          <a:noFill/>
                        </a:ln>
                      </wps:spPr>
                      <wps:txbx>
                        <w:txbxContent>
                          <w:p w14:paraId="6A82C1AC">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1503" name="Shape 21503"/>
                      <wps:cNvSpPr/>
                      <wps:spPr>
                        <a:xfrm>
                          <a:off x="12205" y="0"/>
                          <a:ext cx="7496175" cy="276199"/>
                        </a:xfrm>
                        <a:custGeom>
                          <a:avLst/>
                          <a:gdLst/>
                          <a:ahLst/>
                          <a:cxnLst/>
                          <a:rect l="0" t="0" r="0" b="0"/>
                          <a:pathLst>
                            <a:path w="7496175" h="276199">
                              <a:moveTo>
                                <a:pt x="0" y="0"/>
                              </a:moveTo>
                              <a:lnTo>
                                <a:pt x="7496175" y="0"/>
                              </a:lnTo>
                              <a:lnTo>
                                <a:pt x="7496175" y="276199"/>
                              </a:lnTo>
                              <a:lnTo>
                                <a:pt x="0" y="276199"/>
                              </a:lnTo>
                              <a:lnTo>
                                <a:pt x="0" y="0"/>
                              </a:lnTo>
                            </a:path>
                          </a:pathLst>
                        </a:custGeom>
                        <a:ln w="0" cap="flat">
                          <a:miter lim="127000"/>
                        </a:ln>
                      </wps:spPr>
                      <wps:style>
                        <a:lnRef idx="0">
                          <a:srgbClr val="000000">
                            <a:alpha val="0"/>
                          </a:srgbClr>
                        </a:lnRef>
                        <a:fillRef idx="1">
                          <a:srgbClr val="4E81BC"/>
                        </a:fillRef>
                        <a:effectRef idx="0">
                          <a:scrgbClr r="0" g="0" b="0"/>
                        </a:effectRef>
                        <a:fontRef idx="none"/>
                      </wps:style>
                      <wps:bodyPr/>
                    </wps:wsp>
                    <wps:wsp>
                      <wps:cNvPr id="21207" name="Shape 21207"/>
                      <wps:cNvSpPr/>
                      <wps:spPr>
                        <a:xfrm>
                          <a:off x="12205" y="0"/>
                          <a:ext cx="7496175" cy="276199"/>
                        </a:xfrm>
                        <a:custGeom>
                          <a:avLst/>
                          <a:gdLst/>
                          <a:ahLst/>
                          <a:cxnLst/>
                          <a:rect l="0" t="0" r="0" b="0"/>
                          <a:pathLst>
                            <a:path w="7496175" h="276199">
                              <a:moveTo>
                                <a:pt x="0" y="276199"/>
                              </a:moveTo>
                              <a:lnTo>
                                <a:pt x="7496175" y="276199"/>
                              </a:lnTo>
                              <a:lnTo>
                                <a:pt x="7496175" y="0"/>
                              </a:lnTo>
                              <a:lnTo>
                                <a:pt x="0" y="0"/>
                              </a:lnTo>
                              <a:close/>
                            </a:path>
                          </a:pathLst>
                        </a:custGeom>
                        <a:ln w="25400" cap="flat">
                          <a:round/>
                        </a:ln>
                      </wps:spPr>
                      <wps:style>
                        <a:lnRef idx="1">
                          <a:srgbClr val="1B334E"/>
                        </a:lnRef>
                        <a:fillRef idx="0">
                          <a:srgbClr val="000000">
                            <a:alpha val="0"/>
                          </a:srgbClr>
                        </a:fillRef>
                        <a:effectRef idx="0">
                          <a:scrgbClr r="0" g="0" b="0"/>
                        </a:effectRef>
                        <a:fontRef idx="none"/>
                      </wps:style>
                      <wps:bodyPr/>
                    </wps:wsp>
                  </wpg:wgp>
                </a:graphicData>
              </a:graphic>
            </wp:anchor>
          </w:drawing>
        </mc:Choice>
        <mc:Fallback>
          <w:pict>
            <v:group id="Group 21204" o:spid="_x0000_s1026" o:spt="203" style="position:absolute;left:0pt;margin-left:11pt;margin-top:8.05pt;height:21.75pt;width:592.2pt;mso-position-horizontal-relative:page;mso-position-vertical-relative:page;mso-wrap-distance-bottom:0pt;mso-wrap-distance-left:9pt;mso-wrap-distance-right:9pt;mso-wrap-distance-top:0pt;z-index:251661312;mso-width-relative:page;mso-height-relative:page;" coordsize="7520940,276199" o:gfxdata="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CqJg6+tgAAACEBAAAZAAAAZHJzL19yZWxzL2Uyb0RvYy54bWwucmVsc4WPQWrDMBBF94XcQcw+&#10;lp1FKMWyN6HgbUgOMEhjWcQaCUkt9e0jyCaBQJfzP/89ph///Cp+KWUXWEHXtCCIdTCOrYLr5Xv/&#10;CSIXZINrYFKwUYZx2H30Z1qx1FFeXMyiUjgrWEqJX1JmvZDH3IRIXJs5JI+lnsnKiPqGluShbY8y&#10;PTNgeGGKyShIk+lAXLZYzf+zwzw7TaegfzxxeaOQzld3BWKyVBR4Mg4fYddEtiCHXr48NtwB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">
              <o:lock v:ext="edit" aspectratio="f"/>
              <v:shape id="Picture 21205" o:spid="_x0000_s1026" o:spt="75" type="#_x0000_t75" style="position:absolute;left:0;top:79096;height:118872;width:7520940;" filled="f" o:preferrelative="t" stroked="f" coordsize="21600,21600" o:gfxdata="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7Zu74A&#10;AADeAAAADwAAAAAAAAABACAAAAAiAAAAZHJzL2Rvd25yZXYueG1sUEsBAhQAFAAAAAgAh07iQDMv&#10;BZ47AAAAOQAAABAAAAAAAAAAAQAgAAAADQEAAGRycy9zaGFwZXhtbC54bWxQSwUGAAAAAAYABgBb&#10;AQAAtwMAAAAA&#10;">
                <v:fill on="f" focussize="0,0"/>
                <v:stroke on="f"/>
                <v:imagedata r:id="rId1" o:title=""/>
                <o:lock v:ext="edit" aspectratio="f"/>
              </v:shape>
              <v:rect id="Rectangle 21208" o:spid="_x0000_s1026" o:spt="1" style="position:absolute;left:91440;top:108084;height:175277;width:51841;" filled="f" stroked="f" coordsize="21600,21600" o:gfxdata="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XWaS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A82C1AC">
                      <w:pPr>
                        <w:spacing w:after="160" w:line="259" w:lineRule="auto"/>
                        <w:ind w:left="0" w:firstLine="0"/>
                        <w:jc w:val="left"/>
                      </w:pPr>
                      <w:r>
                        <w:rPr>
                          <w:sz w:val="22"/>
                        </w:rPr>
                        <w:t xml:space="preserve"> </w:t>
                      </w:r>
                    </w:p>
                  </w:txbxContent>
                </v:textbox>
              </v:rect>
              <v:shape id="Shape 21503" o:spid="_x0000_s1026" o:spt="100" style="position:absolute;left:12205;top:0;height:276199;width:7496175;" fillcolor="#4E81BC" filled="t" stroked="f" coordsize="7496175,276199" o:gfxdata="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YpI328AAAA&#10;3gAAAA8AAAAAAAAAAQAgAAAAIgAAAGRycy9kb3ducmV2LnhtbFBLAQIUABQAAAAIAIdO4kAzLwWe&#10;OwAAADkAAAAQAAAAAAAAAAEAIAAAAAsBAABkcnMvc2hhcGV4bWwueG1sUEsFBgAAAAAGAAYAWwEA&#10;ALUDAAAAAA==&#10;" path="m0,0l7496175,0,7496175,276199,0,276199,0,0e">
                <v:fill on="t" focussize="0,0"/>
                <v:stroke on="f" weight="0pt" miterlimit="1" joinstyle="miter"/>
                <v:imagedata o:title=""/>
                <o:lock v:ext="edit" aspectratio="f"/>
              </v:shape>
              <v:shape id="Shape 21207" o:spid="_x0000_s1026" o:spt="100" style="position:absolute;left:12205;top:0;height:276199;width:7496175;" filled="f" stroked="t" coordsize="7496175,276199" o:gfxdata="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dUMK/&#10;AAAA3gAAAA8AAAAAAAAAAQAgAAAAIgAAAGRycy9kb3ducmV2LnhtbFBLAQIUABQAAAAIAIdO4kAz&#10;LwWeOwAAADkAAAAQAAAAAAAAAAEAIAAAAA4BAABkcnMvc2hhcGV4bWwueG1sUEsFBgAAAAAGAAYA&#10;WwEAALgDAAAAAA==&#10;" path="m0,276199l7496175,276199,7496175,0,0,0xe">
                <v:fill on="f" focussize="0,0"/>
                <v:stroke weight="2pt" color="#1B334E" miterlimit="8" joinstyle="round"/>
                <v:imagedata o:title=""/>
                <o:lock v:ext="edit" aspectratio="f"/>
              </v:shape>
              <w10:wrap type="square"/>
            </v:group>
          </w:pict>
        </mc:Fallback>
      </mc:AlternateContent>
    </w:r>
    <w:r>
      <w:rPr>
        <w:rFonts w:ascii="Calibri" w:hAnsi="Calibri" w:eastAsia="Calibri" w:cs="Calibri"/>
        <w:sz w:val="22"/>
      </w:rPr>
      <mc:AlternateContent>
        <mc:Choice Requires="wpg">
          <w:drawing>
            <wp:anchor distT="0" distB="0" distL="114300" distR="114300" simplePos="0" relativeHeight="251662336" behindDoc="0" locked="0" layoutInCell="1" allowOverlap="1">
              <wp:simplePos x="0" y="0"/>
              <wp:positionH relativeFrom="page">
                <wp:posOffset>241935</wp:posOffset>
              </wp:positionH>
              <wp:positionV relativeFrom="page">
                <wp:posOffset>1441450</wp:posOffset>
              </wp:positionV>
              <wp:extent cx="7272655" cy="133350"/>
              <wp:effectExtent l="0" t="0" r="0" b="0"/>
              <wp:wrapSquare wrapText="bothSides"/>
              <wp:docPr id="21209" name="Group 21209"/>
              <wp:cNvGraphicFramePr/>
              <a:graphic xmlns:a="http://schemas.openxmlformats.org/drawingml/2006/main">
                <a:graphicData uri="http://schemas.microsoft.com/office/word/2010/wordprocessingGroup">
                  <wpg:wgp>
                    <wpg:cNvGrpSpPr/>
                    <wpg:grpSpPr>
                      <a:xfrm>
                        <a:off x="0" y="0"/>
                        <a:ext cx="7272656" cy="133350"/>
                        <a:chOff x="0" y="0"/>
                        <a:chExt cx="7272656" cy="133350"/>
                      </a:xfrm>
                    </wpg:grpSpPr>
                    <wps:wsp>
                      <wps:cNvPr id="21210" name="Shape 21210"/>
                      <wps:cNvSpPr/>
                      <wps:spPr>
                        <a:xfrm>
                          <a:off x="3810" y="0"/>
                          <a:ext cx="7267575" cy="57150"/>
                        </a:xfrm>
                        <a:custGeom>
                          <a:avLst/>
                          <a:gdLst/>
                          <a:ahLst/>
                          <a:cxnLst/>
                          <a:rect l="0" t="0" r="0" b="0"/>
                          <a:pathLst>
                            <a:path w="7267575" h="57150">
                              <a:moveTo>
                                <a:pt x="0" y="0"/>
                              </a:moveTo>
                              <a:lnTo>
                                <a:pt x="7267575" y="57150"/>
                              </a:lnTo>
                            </a:path>
                          </a:pathLst>
                        </a:custGeom>
                        <a:ln w="38100" cap="flat">
                          <a:round/>
                        </a:ln>
                      </wps:spPr>
                      <wps:style>
                        <a:lnRef idx="1">
                          <a:srgbClr val="006FC0"/>
                        </a:lnRef>
                        <a:fillRef idx="0">
                          <a:srgbClr val="000000">
                            <a:alpha val="0"/>
                          </a:srgbClr>
                        </a:fillRef>
                        <a:effectRef idx="0">
                          <a:scrgbClr r="0" g="0" b="0"/>
                        </a:effectRef>
                        <a:fontRef idx="none"/>
                      </wps:style>
                      <wps:bodyPr/>
                    </wps:wsp>
                    <wps:wsp>
                      <wps:cNvPr id="21211" name="Shape 21211"/>
                      <wps:cNvSpPr/>
                      <wps:spPr>
                        <a:xfrm>
                          <a:off x="0" y="69850"/>
                          <a:ext cx="7272656" cy="63500"/>
                        </a:xfrm>
                        <a:custGeom>
                          <a:avLst/>
                          <a:gdLst/>
                          <a:ahLst/>
                          <a:cxnLst/>
                          <a:rect l="0" t="0" r="0" b="0"/>
                          <a:pathLst>
                            <a:path w="7272656" h="63500">
                              <a:moveTo>
                                <a:pt x="0" y="0"/>
                              </a:moveTo>
                              <a:lnTo>
                                <a:pt x="7272656" y="635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209" o:spid="_x0000_s1026" o:spt="203" style="position:absolute;left:0pt;margin-left:19.05pt;margin-top:113.5pt;height:10.5pt;width:572.65pt;mso-position-horizontal-relative:page;mso-position-vertical-relative:page;mso-wrap-distance-bottom:0pt;mso-wrap-distance-left:9pt;mso-wrap-distance-right:9pt;mso-wrap-distance-top:0pt;z-index:251662336;mso-width-relative:page;mso-height-relative:page;" coordsize="7272656,133350" o:gfxdata="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RyY4q9sAAAALAQAADwAAAAAAAAABACAAAAAiAAAAZHJzL2Rvd25y&#10;ZXYueG1sUEsBAhQAFAAAAAgAh07iQM+4j4imAgAAPAgAAA4AAAAAAAAAAQAgAAAAKgEAAGRycy9l&#10;Mm9Eb2MueG1sUEsFBgAAAAAGAAYAWQEAAEIGAAAAAA==&#10;">
              <o:lock v:ext="edit" aspectratio="f"/>
              <v:shape id="Shape 21210" o:spid="_x0000_s1026" o:spt="100" style="position:absolute;left:3810;top:0;height:57150;width:7267575;" filled="f" stroked="t" coordsize="7267575,57150" o:gfxdata="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u8Gq/&#10;AAAA3gAAAA8AAAAAAAAAAQAgAAAAIgAAAGRycy9kb3ducmV2LnhtbFBLAQIUABQAAAAIAIdO4kAz&#10;LwWeOwAAADkAAAAQAAAAAAAAAAEAIAAAAA4BAABkcnMvc2hhcGV4bWwueG1sUEsFBgAAAAAGAAYA&#10;WwEAALgDAAAAAA==&#10;" path="m0,0l7267575,57150e">
                <v:fill on="f" focussize="0,0"/>
                <v:stroke weight="3pt" color="#006FC0" miterlimit="8" joinstyle="round"/>
                <v:imagedata o:title=""/>
                <o:lock v:ext="edit" aspectratio="f"/>
              </v:shape>
              <v:shape id="Shape 21211" o:spid="_x0000_s1026" o:spt="100" style="position:absolute;left:0;top:69850;height:63500;width:7272656;" filled="f" stroked="t" coordsize="7272656,63500" o:gfxdata="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Iz3yr4A&#10;AADeAAAADwAAAAAAAAABACAAAAAiAAAAZHJzL2Rvd25yZXYueG1sUEsBAhQAFAAAAAgAh07iQDMv&#10;BZ47AAAAOQAAABAAAAAAAAAAAQAgAAAADQEAAGRycy9zaGFwZXhtbC54bWxQSwUGAAAAAAYABgBb&#10;AQAAtwMAAAAA&#10;" path="m0,0l7272656,63500e">
                <v:fill on="f" focussize="0,0"/>
                <v:stroke color="#000000" miterlimit="8" joinstyle="round"/>
                <v:imagedata o:title=""/>
                <o:lock v:ext="edit" aspectratio="f"/>
              </v:shape>
              <w10:wrap type="square"/>
            </v:group>
          </w:pict>
        </mc:Fallback>
      </mc:AlternateContent>
    </w:r>
    <w:r>
      <w:rPr>
        <w:rFonts w:ascii="Cambria" w:hAnsi="Cambria" w:eastAsia="Cambria" w:cs="Cambria"/>
        <w:b/>
        <w:color w:val="17355D"/>
        <w:lang w:val="pt-PT"/>
      </w:rPr>
      <w:t xml:space="preserve">                                                                                                                                                 ISSN L 3072-9815</w:t>
    </w:r>
    <w:r>
      <w:rPr>
        <w:sz w:val="22"/>
        <w:lang w:val="pt-PT"/>
      </w:rPr>
      <w:t xml:space="preserve"> </w:t>
    </w:r>
  </w:p>
  <w:p w14:paraId="56E9F965">
    <w:pPr>
      <w:tabs>
        <w:tab w:val="center" w:pos="3334"/>
        <w:tab w:val="center" w:pos="8770"/>
      </w:tabs>
      <w:spacing w:after="0" w:line="259" w:lineRule="auto"/>
      <w:ind w:left="0" w:firstLine="0"/>
      <w:jc w:val="left"/>
    </w:pPr>
    <w:r>
      <w:rPr>
        <w:rFonts w:ascii="Calibri" w:hAnsi="Calibri" w:eastAsia="Calibri" w:cs="Calibri"/>
        <w:sz w:val="22"/>
        <w:lang w:val="pt-PT"/>
      </w:rPr>
      <w:tab/>
    </w:r>
    <w:r>
      <w:rPr>
        <w:rFonts w:ascii="Cambria" w:hAnsi="Cambria" w:eastAsia="Cambria" w:cs="Cambria"/>
        <w:b/>
        <w:color w:val="17355D"/>
        <w:sz w:val="36"/>
        <w:lang w:val="pt-PT"/>
      </w:rPr>
      <w:t>Diálogos Educativos</w:t>
    </w:r>
    <w:r>
      <w:rPr>
        <w:sz w:val="22"/>
        <w:lang w:val="pt-PT"/>
      </w:rPr>
      <w:t xml:space="preserve"> </w:t>
    </w:r>
    <w:r>
      <w:rPr>
        <w:sz w:val="22"/>
        <w:lang w:val="pt-PT"/>
      </w:rPr>
      <w:tab/>
    </w:r>
    <w:r>
      <w:rPr>
        <w:rFonts w:ascii="Cambria" w:hAnsi="Cambria" w:eastAsia="Cambria" w:cs="Cambria"/>
        <w:sz w:val="22"/>
        <w:lang w:val="pt-PT"/>
      </w:rPr>
      <w:t xml:space="preserve">Vol.2. </w:t>
    </w:r>
    <w:r>
      <w:rPr>
        <w:rFonts w:ascii="Cambria" w:hAnsi="Cambria" w:eastAsia="Cambria" w:cs="Cambria"/>
        <w:sz w:val="22"/>
      </w:rPr>
      <w:t xml:space="preserve">NÚM 1.   </w:t>
    </w:r>
  </w:p>
  <w:p w14:paraId="691188AE">
    <w:pPr>
      <w:tabs>
        <w:tab w:val="center" w:pos="3257"/>
        <w:tab w:val="right" w:pos="9921"/>
      </w:tabs>
      <w:spacing w:after="9" w:line="259" w:lineRule="auto"/>
      <w:ind w:left="0" w:right="-22" w:firstLine="0"/>
      <w:jc w:val="left"/>
    </w:pPr>
    <w:r>
      <w:rPr>
        <w:rFonts w:ascii="Calibri" w:hAnsi="Calibri" w:eastAsia="Calibri" w:cs="Calibri"/>
        <w:sz w:val="22"/>
      </w:rPr>
      <w:tab/>
    </w:r>
    <w:r>
      <w:rPr>
        <w:rFonts w:ascii="Cambria" w:hAnsi="Cambria" w:eastAsia="Cambria" w:cs="Cambria"/>
        <w:sz w:val="22"/>
      </w:rPr>
      <w:t xml:space="preserve">Revista especializada en Ciencias de la Educación </w:t>
    </w:r>
    <w:r>
      <w:rPr>
        <w:sz w:val="22"/>
      </w:rPr>
      <w:t xml:space="preserve"> </w:t>
    </w:r>
    <w:r>
      <w:rPr>
        <w:sz w:val="22"/>
      </w:rPr>
      <w:tab/>
    </w:r>
    <w:r>
      <w:rPr>
        <w:rFonts w:ascii="Cambria" w:hAnsi="Cambria" w:eastAsia="Cambria" w:cs="Cambria"/>
        <w:sz w:val="22"/>
      </w:rPr>
      <w:t>Abril 2026 a marzo 2027</w:t>
    </w:r>
    <w:r>
      <w:rPr>
        <w:sz w:val="22"/>
      </w:rPr>
      <w:t xml:space="preserve"> </w:t>
    </w:r>
  </w:p>
  <w:p w14:paraId="60B5781D">
    <w:pPr>
      <w:spacing w:after="0" w:line="259" w:lineRule="auto"/>
      <w:ind w:left="8320" w:firstLine="0"/>
      <w:jc w:val="left"/>
    </w:pPr>
    <w:r>
      <w:rPr>
        <w:rFonts w:ascii="Times New Roman" w:hAnsi="Times New Roman" w:eastAsia="Times New Roman" w:cs="Times New Roman"/>
      </w:rPr>
      <w:t xml:space="preserve">pp. </w:t>
    </w:r>
    <w:r>
      <w:rPr>
        <w:sz w:val="22"/>
      </w:rPr>
      <w:t xml:space="preserve"> </w:t>
    </w:r>
    <w:r>
      <w:rPr>
        <w:rFonts w:ascii="Times New Roman" w:hAnsi="Times New Roman" w:eastAsia="Times New Roman" w:cs="Times New Roman"/>
      </w:rPr>
      <w:t>208-</w:t>
    </w:r>
    <w:r>
      <w:rPr>
        <w:sz w:val="22"/>
      </w:rPr>
      <w:t xml:space="preserve"> 24</w:t>
    </w:r>
    <w:r>
      <w:rPr>
        <w:rFonts w:hint="default"/>
        <w:sz w:val="22"/>
        <w:lang w:val="es-PA"/>
      </w:rPr>
      <w:t>1</w:t>
    </w:r>
    <w:r>
      <w:rPr>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71336">
    <w:pPr>
      <w:spacing w:after="236" w:line="259" w:lineRule="auto"/>
      <w:ind w:left="0" w:firstLine="0"/>
      <w:jc w:val="left"/>
    </w:pPr>
    <w:r>
      <w:rPr>
        <w:rFonts w:ascii="Calibri" w:hAnsi="Calibri" w:eastAsia="Calibri" w:cs="Calibri"/>
        <w:sz w:val="22"/>
      </w:rPr>
      <mc:AlternateContent>
        <mc:Choice Requires="wpg">
          <w:drawing>
            <wp:anchor distT="0" distB="0" distL="114300" distR="114300" simplePos="0" relativeHeight="251659264" behindDoc="0" locked="0" layoutInCell="1" allowOverlap="1">
              <wp:simplePos x="0" y="0"/>
              <wp:positionH relativeFrom="page">
                <wp:posOffset>139700</wp:posOffset>
              </wp:positionH>
              <wp:positionV relativeFrom="page">
                <wp:posOffset>102235</wp:posOffset>
              </wp:positionV>
              <wp:extent cx="7520940" cy="276225"/>
              <wp:effectExtent l="0" t="0" r="0" b="0"/>
              <wp:wrapSquare wrapText="bothSides"/>
              <wp:docPr id="21265" name="Group 21265"/>
              <wp:cNvGraphicFramePr/>
              <a:graphic xmlns:a="http://schemas.openxmlformats.org/drawingml/2006/main">
                <a:graphicData uri="http://schemas.microsoft.com/office/word/2010/wordprocessingGroup">
                  <wpg:wgp>
                    <wpg:cNvGrpSpPr/>
                    <wpg:grpSpPr>
                      <a:xfrm>
                        <a:off x="0" y="0"/>
                        <a:ext cx="7520940" cy="276199"/>
                        <a:chOff x="0" y="0"/>
                        <a:chExt cx="7520940" cy="276199"/>
                      </a:xfrm>
                    </wpg:grpSpPr>
                    <pic:pic xmlns:pic="http://schemas.openxmlformats.org/drawingml/2006/picture">
                      <pic:nvPicPr>
                        <pic:cNvPr id="21266" name="Picture 21266"/>
                        <pic:cNvPicPr/>
                      </pic:nvPicPr>
                      <pic:blipFill>
                        <a:blip r:embed="rId1"/>
                        <a:stretch>
                          <a:fillRect/>
                        </a:stretch>
                      </pic:blipFill>
                      <pic:spPr>
                        <a:xfrm>
                          <a:off x="0" y="79096"/>
                          <a:ext cx="7520940" cy="118872"/>
                        </a:xfrm>
                        <a:prstGeom prst="rect">
                          <a:avLst/>
                        </a:prstGeom>
                      </pic:spPr>
                    </pic:pic>
                    <wps:wsp>
                      <wps:cNvPr id="21269" name="Rectangle 21269"/>
                      <wps:cNvSpPr/>
                      <wps:spPr>
                        <a:xfrm>
                          <a:off x="91440" y="108084"/>
                          <a:ext cx="51841" cy="175277"/>
                        </a:xfrm>
                        <a:prstGeom prst="rect">
                          <a:avLst/>
                        </a:prstGeom>
                        <a:ln>
                          <a:noFill/>
                        </a:ln>
                      </wps:spPr>
                      <wps:txbx>
                        <w:txbxContent>
                          <w:p w14:paraId="658F05DF">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1505" name="Shape 21505"/>
                      <wps:cNvSpPr/>
                      <wps:spPr>
                        <a:xfrm>
                          <a:off x="12205" y="0"/>
                          <a:ext cx="7496175" cy="276199"/>
                        </a:xfrm>
                        <a:custGeom>
                          <a:avLst/>
                          <a:gdLst/>
                          <a:ahLst/>
                          <a:cxnLst/>
                          <a:rect l="0" t="0" r="0" b="0"/>
                          <a:pathLst>
                            <a:path w="7496175" h="276199">
                              <a:moveTo>
                                <a:pt x="0" y="0"/>
                              </a:moveTo>
                              <a:lnTo>
                                <a:pt x="7496175" y="0"/>
                              </a:lnTo>
                              <a:lnTo>
                                <a:pt x="7496175" y="276199"/>
                              </a:lnTo>
                              <a:lnTo>
                                <a:pt x="0" y="276199"/>
                              </a:lnTo>
                              <a:lnTo>
                                <a:pt x="0" y="0"/>
                              </a:lnTo>
                            </a:path>
                          </a:pathLst>
                        </a:custGeom>
                        <a:ln w="0" cap="flat">
                          <a:miter lim="127000"/>
                        </a:ln>
                      </wps:spPr>
                      <wps:style>
                        <a:lnRef idx="0">
                          <a:srgbClr val="000000">
                            <a:alpha val="0"/>
                          </a:srgbClr>
                        </a:lnRef>
                        <a:fillRef idx="1">
                          <a:srgbClr val="4E81BC"/>
                        </a:fillRef>
                        <a:effectRef idx="0">
                          <a:scrgbClr r="0" g="0" b="0"/>
                        </a:effectRef>
                        <a:fontRef idx="none"/>
                      </wps:style>
                      <wps:bodyPr/>
                    </wps:wsp>
                    <wps:wsp>
                      <wps:cNvPr id="21268" name="Shape 21268"/>
                      <wps:cNvSpPr/>
                      <wps:spPr>
                        <a:xfrm>
                          <a:off x="12205" y="0"/>
                          <a:ext cx="7496175" cy="276199"/>
                        </a:xfrm>
                        <a:custGeom>
                          <a:avLst/>
                          <a:gdLst/>
                          <a:ahLst/>
                          <a:cxnLst/>
                          <a:rect l="0" t="0" r="0" b="0"/>
                          <a:pathLst>
                            <a:path w="7496175" h="276199">
                              <a:moveTo>
                                <a:pt x="0" y="276199"/>
                              </a:moveTo>
                              <a:lnTo>
                                <a:pt x="7496175" y="276199"/>
                              </a:lnTo>
                              <a:lnTo>
                                <a:pt x="7496175" y="0"/>
                              </a:lnTo>
                              <a:lnTo>
                                <a:pt x="0" y="0"/>
                              </a:lnTo>
                              <a:close/>
                            </a:path>
                          </a:pathLst>
                        </a:custGeom>
                        <a:ln w="25400" cap="flat">
                          <a:round/>
                        </a:ln>
                      </wps:spPr>
                      <wps:style>
                        <a:lnRef idx="1">
                          <a:srgbClr val="1B334E"/>
                        </a:lnRef>
                        <a:fillRef idx="0">
                          <a:srgbClr val="000000">
                            <a:alpha val="0"/>
                          </a:srgbClr>
                        </a:fillRef>
                        <a:effectRef idx="0">
                          <a:scrgbClr r="0" g="0" b="0"/>
                        </a:effectRef>
                        <a:fontRef idx="none"/>
                      </wps:style>
                      <wps:bodyPr/>
                    </wps:wsp>
                  </wpg:wgp>
                </a:graphicData>
              </a:graphic>
            </wp:anchor>
          </w:drawing>
        </mc:Choice>
        <mc:Fallback>
          <w:pict>
            <v:group id="Group 21265" o:spid="_x0000_s1026" o:spt="203" style="position:absolute;left:0pt;margin-left:11pt;margin-top:8.05pt;height:21.75pt;width:592.2pt;mso-position-horizontal-relative:page;mso-position-vertical-relative:page;mso-wrap-distance-bottom:0pt;mso-wrap-distance-left:9pt;mso-wrap-distance-right:9pt;mso-wrap-distance-top:0pt;z-index:251659264;mso-width-relative:page;mso-height-relative:page;" coordsize="7520940,276199" o:gfxdata="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">
              <o:lock v:ext="edit" aspectratio="f"/>
              <v:shape id="Picture 21266" o:spid="_x0000_s1026" o:spt="75" type="#_x0000_t75" style="position:absolute;left:0;top:79096;height:118872;width:7520940;" filled="f" o:preferrelative="t" stroked="f" coordsize="21600,21600" o:gfxdata="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g6JsvQAA&#10;AN4AAAAPAAAAAAAAAAEAIAAAACIAAABkcnMvZG93bnJldi54bWxQSwECFAAUAAAACACHTuJAMy8F&#10;njsAAAA5AAAAEAAAAAAAAAABACAAAAAMAQAAZHJzL3NoYXBleG1sLnhtbFBLBQYAAAAABgAGAFsB&#10;AAC2AwAAAAA=&#10;">
                <v:fill on="f" focussize="0,0"/>
                <v:stroke on="f"/>
                <v:imagedata r:id="rId1" o:title=""/>
                <o:lock v:ext="edit" aspectratio="f"/>
              </v:shape>
              <v:rect id="Rectangle 21269" o:spid="_x0000_s1026" o:spt="1" style="position:absolute;left:91440;top:108084;height:175277;width:51841;" filled="f" stroked="f" coordsize="21600,21600" o:gfxdata="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ba&#10;c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58F05DF">
                      <w:pPr>
                        <w:spacing w:after="160" w:line="259" w:lineRule="auto"/>
                        <w:ind w:left="0" w:firstLine="0"/>
                        <w:jc w:val="left"/>
                      </w:pPr>
                      <w:r>
                        <w:rPr>
                          <w:sz w:val="22"/>
                        </w:rPr>
                        <w:t xml:space="preserve"> </w:t>
                      </w:r>
                    </w:p>
                  </w:txbxContent>
                </v:textbox>
              </v:rect>
              <v:shape id="Shape 21505" o:spid="_x0000_s1026" o:spt="100" style="position:absolute;left:12205;top:0;height:276199;width:7496175;" fillcolor="#4E81BC" filled="t" stroked="f" coordsize="7496175,276199" o:gfxdata="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wekr4A&#10;AADeAAAADwAAAAAAAAABACAAAAAiAAAAZHJzL2Rvd25yZXYueG1sUEsBAhQAFAAAAAgAh07iQDMv&#10;BZ47AAAAOQAAABAAAAAAAAAAAQAgAAAADQEAAGRycy9zaGFwZXhtbC54bWxQSwUGAAAAAAYABgBb&#10;AQAAtwMAAAAA&#10;" path="m0,0l7496175,0,7496175,276199,0,276199,0,0e">
                <v:fill on="t" focussize="0,0"/>
                <v:stroke on="f" weight="0pt" miterlimit="1" joinstyle="miter"/>
                <v:imagedata o:title=""/>
                <o:lock v:ext="edit" aspectratio="f"/>
              </v:shape>
              <v:shape id="Shape 21268" o:spid="_x0000_s1026" o:spt="100" style="position:absolute;left:12205;top:0;height:276199;width:7496175;" filled="f" stroked="t" coordsize="7496175,276199" o:gfxdata="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dIRC8AAAA&#10;3gAAAA8AAAAAAAAAAQAgAAAAIgAAAGRycy9kb3ducmV2LnhtbFBLAQIUABQAAAAIAIdO4kAzLwWe&#10;OwAAADkAAAAQAAAAAAAAAAEAIAAAAAsBAABkcnMvc2hhcGV4bWwueG1sUEsFBgAAAAAGAAYAWwEA&#10;ALUDAAAAAA==&#10;" path="m0,276199l7496175,276199,7496175,0,0,0xe">
                <v:fill on="f" focussize="0,0"/>
                <v:stroke weight="2pt" color="#1B334E" miterlimit="8" joinstyle="round"/>
                <v:imagedata o:title=""/>
                <o:lock v:ext="edit" aspectratio="f"/>
              </v:shape>
              <w10:wrap type="square"/>
            </v:group>
          </w:pict>
        </mc:Fallback>
      </mc:AlternateContent>
    </w: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page">
                <wp:posOffset>241935</wp:posOffset>
              </wp:positionH>
              <wp:positionV relativeFrom="page">
                <wp:posOffset>1441450</wp:posOffset>
              </wp:positionV>
              <wp:extent cx="7272655" cy="133350"/>
              <wp:effectExtent l="0" t="0" r="0" b="0"/>
              <wp:wrapSquare wrapText="bothSides"/>
              <wp:docPr id="21270" name="Group 21270"/>
              <wp:cNvGraphicFramePr/>
              <a:graphic xmlns:a="http://schemas.openxmlformats.org/drawingml/2006/main">
                <a:graphicData uri="http://schemas.microsoft.com/office/word/2010/wordprocessingGroup">
                  <wpg:wgp>
                    <wpg:cNvGrpSpPr/>
                    <wpg:grpSpPr>
                      <a:xfrm>
                        <a:off x="0" y="0"/>
                        <a:ext cx="7272656" cy="133350"/>
                        <a:chOff x="0" y="0"/>
                        <a:chExt cx="7272656" cy="133350"/>
                      </a:xfrm>
                    </wpg:grpSpPr>
                    <wps:wsp>
                      <wps:cNvPr id="21271" name="Shape 21271"/>
                      <wps:cNvSpPr/>
                      <wps:spPr>
                        <a:xfrm>
                          <a:off x="3810" y="0"/>
                          <a:ext cx="7267575" cy="57150"/>
                        </a:xfrm>
                        <a:custGeom>
                          <a:avLst/>
                          <a:gdLst/>
                          <a:ahLst/>
                          <a:cxnLst/>
                          <a:rect l="0" t="0" r="0" b="0"/>
                          <a:pathLst>
                            <a:path w="7267575" h="57150">
                              <a:moveTo>
                                <a:pt x="0" y="0"/>
                              </a:moveTo>
                              <a:lnTo>
                                <a:pt x="7267575" y="57150"/>
                              </a:lnTo>
                            </a:path>
                          </a:pathLst>
                        </a:custGeom>
                        <a:ln w="38100" cap="flat">
                          <a:round/>
                        </a:ln>
                      </wps:spPr>
                      <wps:style>
                        <a:lnRef idx="1">
                          <a:srgbClr val="006FC0"/>
                        </a:lnRef>
                        <a:fillRef idx="0">
                          <a:srgbClr val="000000">
                            <a:alpha val="0"/>
                          </a:srgbClr>
                        </a:fillRef>
                        <a:effectRef idx="0">
                          <a:scrgbClr r="0" g="0" b="0"/>
                        </a:effectRef>
                        <a:fontRef idx="none"/>
                      </wps:style>
                      <wps:bodyPr/>
                    </wps:wsp>
                    <wps:wsp>
                      <wps:cNvPr id="21272" name="Shape 21272"/>
                      <wps:cNvSpPr/>
                      <wps:spPr>
                        <a:xfrm>
                          <a:off x="0" y="69850"/>
                          <a:ext cx="7272656" cy="63500"/>
                        </a:xfrm>
                        <a:custGeom>
                          <a:avLst/>
                          <a:gdLst/>
                          <a:ahLst/>
                          <a:cxnLst/>
                          <a:rect l="0" t="0" r="0" b="0"/>
                          <a:pathLst>
                            <a:path w="7272656" h="63500">
                              <a:moveTo>
                                <a:pt x="0" y="0"/>
                              </a:moveTo>
                              <a:lnTo>
                                <a:pt x="7272656" y="635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270" o:spid="_x0000_s1026" o:spt="203" style="position:absolute;left:0pt;margin-left:19.05pt;margin-top:113.5pt;height:10.5pt;width:572.65pt;mso-position-horizontal-relative:page;mso-position-vertical-relative:page;mso-wrap-distance-bottom:0pt;mso-wrap-distance-left:9pt;mso-wrap-distance-right:9pt;mso-wrap-distance-top:0pt;z-index:251660288;mso-width-relative:page;mso-height-relative:page;" coordsize="7272656,133350" o:gfxdata="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EcmOKvbAAAACwEAAA8AAAAAAAAAAQAgAAAAIgAAAGRycy9kb3du&#10;cmV2LnhtbFBLAQIUABQAAAAIAIdO4kACD2UXpwIAADwIAAAOAAAAAAAAAAEAIAAAACoBAABkcnMv&#10;ZTJvRG9jLnhtbFBLBQYAAAAABgAGAFkBAABDBgAAAAA=&#10;">
              <o:lock v:ext="edit" aspectratio="f"/>
              <v:shape id="Shape 21271" o:spid="_x0000_s1026" o:spt="100" style="position:absolute;left:3810;top:0;height:57150;width:7267575;" filled="f" stroked="t" coordsize="7267575,57150" o:gfxdata="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PbBR&#10;wAAAAN4AAAAPAAAAAAAAAAEAIAAAACIAAABkcnMvZG93bnJldi54bWxQSwECFAAUAAAACACHTuJA&#10;My8FnjsAAAA5AAAAEAAAAAAAAAABACAAAAAPAQAAZHJzL3NoYXBleG1sLnhtbFBLBQYAAAAABgAG&#10;AFsBAAC5AwAAAAA=&#10;" path="m0,0l7267575,57150e">
                <v:fill on="f" focussize="0,0"/>
                <v:stroke weight="3pt" color="#006FC0" miterlimit="8" joinstyle="round"/>
                <v:imagedata o:title=""/>
                <o:lock v:ext="edit" aspectratio="f"/>
              </v:shape>
              <v:shape id="Shape 21272" o:spid="_x0000_s1026" o:spt="100" style="position:absolute;left:0;top:69850;height:63500;width:7272656;" filled="f" stroked="t" coordsize="7272656,63500" o:gfxdata="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YGMHb4A&#10;AADeAAAADwAAAAAAAAABACAAAAAiAAAAZHJzL2Rvd25yZXYueG1sUEsBAhQAFAAAAAgAh07iQDMv&#10;BZ47AAAAOQAAABAAAAAAAAAAAQAgAAAADQEAAGRycy9zaGFwZXhtbC54bWxQSwUGAAAAAAYABgBb&#10;AQAAtwMAAAAA&#10;" path="m0,0l7272656,63500e">
                <v:fill on="f" focussize="0,0"/>
                <v:stroke color="#000000" miterlimit="8" joinstyle="round"/>
                <v:imagedata o:title=""/>
                <o:lock v:ext="edit" aspectratio="f"/>
              </v:shape>
              <w10:wrap type="square"/>
            </v:group>
          </w:pict>
        </mc:Fallback>
      </mc:AlternateContent>
    </w:r>
    <w:r>
      <w:rPr>
        <w:sz w:val="20"/>
      </w:rPr>
      <w:t xml:space="preserve">   </w:t>
    </w:r>
  </w:p>
  <w:p w14:paraId="3058F169">
    <w:pPr>
      <w:spacing w:after="17" w:line="259" w:lineRule="auto"/>
      <w:ind w:left="0" w:right="179" w:firstLine="0"/>
      <w:jc w:val="right"/>
      <w:rPr>
        <w:lang w:val="pt-PT"/>
      </w:rPr>
    </w:pPr>
    <w:r>
      <w:rPr>
        <w:rFonts w:ascii="Cambria" w:hAnsi="Cambria" w:eastAsia="Cambria" w:cs="Cambria"/>
        <w:b/>
        <w:color w:val="17355D"/>
        <w:lang w:val="pt-PT"/>
      </w:rPr>
      <w:t>ISSN L 3072-9815</w:t>
    </w:r>
    <w:r>
      <w:rPr>
        <w:sz w:val="22"/>
        <w:lang w:val="pt-PT"/>
      </w:rPr>
      <w:t xml:space="preserve"> </w:t>
    </w:r>
  </w:p>
  <w:p w14:paraId="5F32071C">
    <w:pPr>
      <w:tabs>
        <w:tab w:val="center" w:pos="3334"/>
        <w:tab w:val="center" w:pos="8770"/>
      </w:tabs>
      <w:spacing w:after="0" w:line="259" w:lineRule="auto"/>
      <w:ind w:left="0" w:firstLine="0"/>
      <w:jc w:val="left"/>
    </w:pPr>
    <w:r>
      <w:rPr>
        <w:rFonts w:ascii="Calibri" w:hAnsi="Calibri" w:eastAsia="Calibri" w:cs="Calibri"/>
        <w:sz w:val="22"/>
        <w:lang w:val="pt-PT"/>
      </w:rPr>
      <w:tab/>
    </w:r>
    <w:r>
      <w:rPr>
        <w:rFonts w:ascii="Cambria" w:hAnsi="Cambria" w:eastAsia="Cambria" w:cs="Cambria"/>
        <w:b/>
        <w:color w:val="17355D"/>
        <w:sz w:val="36"/>
        <w:lang w:val="pt-PT"/>
      </w:rPr>
      <w:t>Diálogos Educativos</w:t>
    </w:r>
    <w:r>
      <w:rPr>
        <w:sz w:val="22"/>
        <w:lang w:val="pt-PT"/>
      </w:rPr>
      <w:t xml:space="preserve"> </w:t>
    </w:r>
    <w:r>
      <w:rPr>
        <w:sz w:val="22"/>
        <w:lang w:val="pt-PT"/>
      </w:rPr>
      <w:tab/>
    </w:r>
    <w:r>
      <w:rPr>
        <w:rFonts w:ascii="Cambria" w:hAnsi="Cambria" w:eastAsia="Cambria" w:cs="Cambria"/>
        <w:sz w:val="22"/>
        <w:lang w:val="pt-PT"/>
      </w:rPr>
      <w:t xml:space="preserve">Vol.2. </w:t>
    </w:r>
    <w:r>
      <w:rPr>
        <w:rFonts w:ascii="Cambria" w:hAnsi="Cambria" w:eastAsia="Cambria" w:cs="Cambria"/>
        <w:sz w:val="22"/>
      </w:rPr>
      <w:t xml:space="preserve">NÚM 1.   </w:t>
    </w:r>
  </w:p>
  <w:p w14:paraId="1D479F55">
    <w:pPr>
      <w:tabs>
        <w:tab w:val="center" w:pos="3257"/>
        <w:tab w:val="right" w:pos="9921"/>
      </w:tabs>
      <w:spacing w:after="9" w:line="259" w:lineRule="auto"/>
      <w:ind w:left="0" w:right="-22" w:firstLine="0"/>
      <w:jc w:val="left"/>
    </w:pPr>
    <w:r>
      <w:rPr>
        <w:rFonts w:ascii="Calibri" w:hAnsi="Calibri" w:eastAsia="Calibri" w:cs="Calibri"/>
        <w:sz w:val="22"/>
      </w:rPr>
      <w:tab/>
    </w:r>
    <w:r>
      <w:rPr>
        <w:rFonts w:ascii="Cambria" w:hAnsi="Cambria" w:eastAsia="Cambria" w:cs="Cambria"/>
        <w:sz w:val="22"/>
      </w:rPr>
      <w:t xml:space="preserve">Revista especializada en Ciencias de la Educación </w:t>
    </w:r>
    <w:r>
      <w:rPr>
        <w:sz w:val="22"/>
      </w:rPr>
      <w:t xml:space="preserve"> </w:t>
    </w:r>
    <w:r>
      <w:rPr>
        <w:sz w:val="22"/>
      </w:rPr>
      <w:tab/>
    </w:r>
    <w:r>
      <w:rPr>
        <w:rFonts w:ascii="Cambria" w:hAnsi="Cambria" w:eastAsia="Cambria" w:cs="Cambria"/>
        <w:sz w:val="22"/>
      </w:rPr>
      <w:t>Abril 2026 a marzo 2027</w:t>
    </w:r>
    <w:r>
      <w:rPr>
        <w:sz w:val="22"/>
      </w:rPr>
      <w:t xml:space="preserve"> </w:t>
    </w:r>
  </w:p>
  <w:p w14:paraId="5FB83168">
    <w:pPr>
      <w:spacing w:after="0" w:line="259" w:lineRule="auto"/>
      <w:ind w:left="8320" w:firstLine="0"/>
      <w:jc w:val="left"/>
    </w:pPr>
    <w:r>
      <w:rPr>
        <w:rFonts w:ascii="Times New Roman" w:hAnsi="Times New Roman" w:eastAsia="Times New Roman" w:cs="Times New Roman"/>
      </w:rPr>
      <w:t xml:space="preserve">pp. </w:t>
    </w:r>
    <w:r>
      <w:rPr>
        <w:sz w:val="22"/>
      </w:rPr>
      <w:t xml:space="preserve"> </w:t>
    </w:r>
    <w:r>
      <w:rPr>
        <w:rFonts w:ascii="Times New Roman" w:hAnsi="Times New Roman" w:eastAsia="Times New Roman" w:cs="Times New Roman"/>
        <w:sz w:val="22"/>
      </w:rPr>
      <w:t>2-25</w:t>
    </w:r>
    <w:r>
      <w:rPr>
        <w:sz w:val="2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2ECE">
    <w:pPr>
      <w:spacing w:after="236" w:line="259" w:lineRule="auto"/>
      <w:ind w:left="0" w:firstLine="0"/>
      <w:jc w:val="left"/>
    </w:pPr>
    <w:r>
      <w:rPr>
        <w:rFonts w:ascii="Calibri" w:hAnsi="Calibri" w:eastAsia="Calibri" w:cs="Calibri"/>
        <w:sz w:val="22"/>
      </w:rPr>
      <mc:AlternateContent>
        <mc:Choice Requires="wpg">
          <w:drawing>
            <wp:anchor distT="0" distB="0" distL="114300" distR="114300" simplePos="0" relativeHeight="251663360" behindDoc="0" locked="0" layoutInCell="1" allowOverlap="1">
              <wp:simplePos x="0" y="0"/>
              <wp:positionH relativeFrom="page">
                <wp:posOffset>139700</wp:posOffset>
              </wp:positionH>
              <wp:positionV relativeFrom="page">
                <wp:posOffset>102235</wp:posOffset>
              </wp:positionV>
              <wp:extent cx="7520940" cy="276225"/>
              <wp:effectExtent l="0" t="0" r="0" b="0"/>
              <wp:wrapSquare wrapText="bothSides"/>
              <wp:docPr id="21143" name="Group 21143"/>
              <wp:cNvGraphicFramePr/>
              <a:graphic xmlns:a="http://schemas.openxmlformats.org/drawingml/2006/main">
                <a:graphicData uri="http://schemas.microsoft.com/office/word/2010/wordprocessingGroup">
                  <wpg:wgp>
                    <wpg:cNvGrpSpPr/>
                    <wpg:grpSpPr>
                      <a:xfrm>
                        <a:off x="0" y="0"/>
                        <a:ext cx="7520940" cy="276199"/>
                        <a:chOff x="0" y="0"/>
                        <a:chExt cx="7520940" cy="276199"/>
                      </a:xfrm>
                    </wpg:grpSpPr>
                    <pic:pic xmlns:pic="http://schemas.openxmlformats.org/drawingml/2006/picture">
                      <pic:nvPicPr>
                        <pic:cNvPr id="21144" name="Picture 21144"/>
                        <pic:cNvPicPr/>
                      </pic:nvPicPr>
                      <pic:blipFill>
                        <a:blip r:embed="rId1"/>
                        <a:stretch>
                          <a:fillRect/>
                        </a:stretch>
                      </pic:blipFill>
                      <pic:spPr>
                        <a:xfrm>
                          <a:off x="0" y="79096"/>
                          <a:ext cx="7520940" cy="118872"/>
                        </a:xfrm>
                        <a:prstGeom prst="rect">
                          <a:avLst/>
                        </a:prstGeom>
                      </pic:spPr>
                    </pic:pic>
                    <wps:wsp>
                      <wps:cNvPr id="21147" name="Rectangle 21147"/>
                      <wps:cNvSpPr/>
                      <wps:spPr>
                        <a:xfrm>
                          <a:off x="91440" y="108084"/>
                          <a:ext cx="51841" cy="175277"/>
                        </a:xfrm>
                        <a:prstGeom prst="rect">
                          <a:avLst/>
                        </a:prstGeom>
                        <a:ln>
                          <a:noFill/>
                        </a:ln>
                      </wps:spPr>
                      <wps:txbx>
                        <w:txbxContent>
                          <w:p w14:paraId="5F4F450F">
                            <w:pPr>
                              <w:spacing w:after="160" w:line="259" w:lineRule="auto"/>
                              <w:ind w:left="0" w:firstLine="0"/>
                              <w:jc w:val="left"/>
                            </w:pPr>
                            <w:r>
                              <w:rPr>
                                <w:sz w:val="22"/>
                              </w:rPr>
                              <w:t xml:space="preserve"> </w:t>
                            </w:r>
                          </w:p>
                        </w:txbxContent>
                      </wps:txbx>
                      <wps:bodyPr horzOverflow="overflow" vert="horz" lIns="0" tIns="0" rIns="0" bIns="0" rtlCol="0">
                        <a:noAutofit/>
                      </wps:bodyPr>
                    </wps:wsp>
                    <wps:wsp>
                      <wps:cNvPr id="21501" name="Shape 21501"/>
                      <wps:cNvSpPr/>
                      <wps:spPr>
                        <a:xfrm>
                          <a:off x="12205" y="0"/>
                          <a:ext cx="7496175" cy="276199"/>
                        </a:xfrm>
                        <a:custGeom>
                          <a:avLst/>
                          <a:gdLst/>
                          <a:ahLst/>
                          <a:cxnLst/>
                          <a:rect l="0" t="0" r="0" b="0"/>
                          <a:pathLst>
                            <a:path w="7496175" h="276199">
                              <a:moveTo>
                                <a:pt x="0" y="0"/>
                              </a:moveTo>
                              <a:lnTo>
                                <a:pt x="7496175" y="0"/>
                              </a:lnTo>
                              <a:lnTo>
                                <a:pt x="7496175" y="276199"/>
                              </a:lnTo>
                              <a:lnTo>
                                <a:pt x="0" y="276199"/>
                              </a:lnTo>
                              <a:lnTo>
                                <a:pt x="0" y="0"/>
                              </a:lnTo>
                            </a:path>
                          </a:pathLst>
                        </a:custGeom>
                        <a:ln w="0" cap="flat">
                          <a:miter lim="127000"/>
                        </a:ln>
                      </wps:spPr>
                      <wps:style>
                        <a:lnRef idx="0">
                          <a:srgbClr val="000000">
                            <a:alpha val="0"/>
                          </a:srgbClr>
                        </a:lnRef>
                        <a:fillRef idx="1">
                          <a:srgbClr val="4E81BC"/>
                        </a:fillRef>
                        <a:effectRef idx="0">
                          <a:scrgbClr r="0" g="0" b="0"/>
                        </a:effectRef>
                        <a:fontRef idx="none"/>
                      </wps:style>
                      <wps:bodyPr/>
                    </wps:wsp>
                    <wps:wsp>
                      <wps:cNvPr id="21146" name="Shape 21146"/>
                      <wps:cNvSpPr/>
                      <wps:spPr>
                        <a:xfrm>
                          <a:off x="12205" y="0"/>
                          <a:ext cx="7496175" cy="276199"/>
                        </a:xfrm>
                        <a:custGeom>
                          <a:avLst/>
                          <a:gdLst/>
                          <a:ahLst/>
                          <a:cxnLst/>
                          <a:rect l="0" t="0" r="0" b="0"/>
                          <a:pathLst>
                            <a:path w="7496175" h="276199">
                              <a:moveTo>
                                <a:pt x="0" y="276199"/>
                              </a:moveTo>
                              <a:lnTo>
                                <a:pt x="7496175" y="276199"/>
                              </a:lnTo>
                              <a:lnTo>
                                <a:pt x="7496175" y="0"/>
                              </a:lnTo>
                              <a:lnTo>
                                <a:pt x="0" y="0"/>
                              </a:lnTo>
                              <a:close/>
                            </a:path>
                          </a:pathLst>
                        </a:custGeom>
                        <a:ln w="25400" cap="flat">
                          <a:round/>
                        </a:ln>
                      </wps:spPr>
                      <wps:style>
                        <a:lnRef idx="1">
                          <a:srgbClr val="1B334E"/>
                        </a:lnRef>
                        <a:fillRef idx="0">
                          <a:srgbClr val="000000">
                            <a:alpha val="0"/>
                          </a:srgbClr>
                        </a:fillRef>
                        <a:effectRef idx="0">
                          <a:scrgbClr r="0" g="0" b="0"/>
                        </a:effectRef>
                        <a:fontRef idx="none"/>
                      </wps:style>
                      <wps:bodyPr/>
                    </wps:wsp>
                  </wpg:wgp>
                </a:graphicData>
              </a:graphic>
            </wp:anchor>
          </w:drawing>
        </mc:Choice>
        <mc:Fallback>
          <w:pict>
            <v:group id="Group 21143" o:spid="_x0000_s1026" o:spt="203" style="position:absolute;left:0pt;margin-left:11pt;margin-top:8.05pt;height:21.75pt;width:592.2pt;mso-position-horizontal-relative:page;mso-position-vertical-relative:page;mso-wrap-distance-bottom:0pt;mso-wrap-distance-left:9pt;mso-wrap-distance-right:9pt;mso-wrap-distance-top:0pt;z-index:251663360;mso-width-relative:page;mso-height-relative:page;" coordsize="7520940,276199" o:gfxdata="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">
              <o:lock v:ext="edit" aspectratio="f"/>
              <v:shape id="Picture 21144" o:spid="_x0000_s1026" o:spt="75" type="#_x0000_t75" style="position:absolute;left:0;top:79096;height:118872;width:7520940;" filled="f" o:preferrelative="t" stroked="f" coordsize="21600,21600" o:gfxdata="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NpJy8AAAA&#10;3gAAAA8AAAAAAAAAAQAgAAAAIgAAAGRycy9kb3ducmV2LnhtbFBLAQIUABQAAAAIAIdO4kAzLwWe&#10;OwAAADkAAAAQAAAAAAAAAAEAIAAAAAsBAABkcnMvc2hhcGV4bWwueG1sUEsFBgAAAAAGAAYAWwEA&#10;ALUDAAAAAA==&#10;">
                <v:fill on="f" focussize="0,0"/>
                <v:stroke on="f"/>
                <v:imagedata r:id="rId1" o:title=""/>
                <o:lock v:ext="edit" aspectratio="f"/>
              </v:shape>
              <v:rect id="Rectangle 21147" o:spid="_x0000_s1026" o:spt="1" style="position:absolute;left:91440;top:108084;height:175277;width:51841;" filled="f" stroked="f" coordsize="21600,21600" o:gfxdata="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pdaF&#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5F4F450F">
                      <w:pPr>
                        <w:spacing w:after="160" w:line="259" w:lineRule="auto"/>
                        <w:ind w:left="0" w:firstLine="0"/>
                        <w:jc w:val="left"/>
                      </w:pPr>
                      <w:r>
                        <w:rPr>
                          <w:sz w:val="22"/>
                        </w:rPr>
                        <w:t xml:space="preserve"> </w:t>
                      </w:r>
                    </w:p>
                  </w:txbxContent>
                </v:textbox>
              </v:rect>
              <v:shape id="Shape 21501" o:spid="_x0000_s1026" o:spt="100" style="position:absolute;left:12205;top:0;height:276199;width:7496175;" fillcolor="#4E81BC" filled="t" stroked="f" coordsize="7496175,276199" o:gfxdata="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m3GJG8AAAA&#10;3gAAAA8AAAAAAAAAAQAgAAAAIgAAAGRycy9kb3ducmV2LnhtbFBLAQIUABQAAAAIAIdO4kAzLwWe&#10;OwAAADkAAAAQAAAAAAAAAAEAIAAAAAsBAABkcnMvc2hhcGV4bWwueG1sUEsFBgAAAAAGAAYAWwEA&#10;ALUDAAAAAA==&#10;" path="m0,0l7496175,0,7496175,276199,0,276199,0,0e">
                <v:fill on="t" focussize="0,0"/>
                <v:stroke on="f" weight="0pt" miterlimit="1" joinstyle="miter"/>
                <v:imagedata o:title=""/>
                <o:lock v:ext="edit" aspectratio="f"/>
              </v:shape>
              <v:shape id="Shape 21146" o:spid="_x0000_s1026" o:spt="100" style="position:absolute;left:12205;top:0;height:276199;width:7496175;" filled="f" stroked="t" coordsize="7496175,276199" o:gfxdata="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eLeW/&#10;AAAA3gAAAA8AAAAAAAAAAQAgAAAAIgAAAGRycy9kb3ducmV2LnhtbFBLAQIUABQAAAAIAIdO4kAz&#10;LwWeOwAAADkAAAAQAAAAAAAAAAEAIAAAAA4BAABkcnMvc2hhcGV4bWwueG1sUEsFBgAAAAAGAAYA&#10;WwEAALgDAAAAAA==&#10;" path="m0,276199l7496175,276199,7496175,0,0,0xe">
                <v:fill on="f" focussize="0,0"/>
                <v:stroke weight="2pt" color="#1B334E" miterlimit="8" joinstyle="round"/>
                <v:imagedata o:title=""/>
                <o:lock v:ext="edit" aspectratio="f"/>
              </v:shape>
              <w10:wrap type="square"/>
            </v:group>
          </w:pict>
        </mc:Fallback>
      </mc:AlternateContent>
    </w:r>
    <w:r>
      <w:rPr>
        <w:rFonts w:ascii="Calibri" w:hAnsi="Calibri" w:eastAsia="Calibri" w:cs="Calibri"/>
        <w:sz w:val="22"/>
      </w:rPr>
      <mc:AlternateContent>
        <mc:Choice Requires="wpg">
          <w:drawing>
            <wp:anchor distT="0" distB="0" distL="114300" distR="114300" simplePos="0" relativeHeight="251664384" behindDoc="0" locked="0" layoutInCell="1" allowOverlap="1">
              <wp:simplePos x="0" y="0"/>
              <wp:positionH relativeFrom="page">
                <wp:posOffset>241935</wp:posOffset>
              </wp:positionH>
              <wp:positionV relativeFrom="page">
                <wp:posOffset>1441450</wp:posOffset>
              </wp:positionV>
              <wp:extent cx="7272655" cy="133350"/>
              <wp:effectExtent l="0" t="0" r="0" b="0"/>
              <wp:wrapSquare wrapText="bothSides"/>
              <wp:docPr id="21148" name="Group 21148"/>
              <wp:cNvGraphicFramePr/>
              <a:graphic xmlns:a="http://schemas.openxmlformats.org/drawingml/2006/main">
                <a:graphicData uri="http://schemas.microsoft.com/office/word/2010/wordprocessingGroup">
                  <wpg:wgp>
                    <wpg:cNvGrpSpPr/>
                    <wpg:grpSpPr>
                      <a:xfrm>
                        <a:off x="0" y="0"/>
                        <a:ext cx="7272656" cy="133350"/>
                        <a:chOff x="0" y="0"/>
                        <a:chExt cx="7272656" cy="133350"/>
                      </a:xfrm>
                    </wpg:grpSpPr>
                    <wps:wsp>
                      <wps:cNvPr id="21149" name="Shape 21149"/>
                      <wps:cNvSpPr/>
                      <wps:spPr>
                        <a:xfrm>
                          <a:off x="3810" y="0"/>
                          <a:ext cx="7267575" cy="57150"/>
                        </a:xfrm>
                        <a:custGeom>
                          <a:avLst/>
                          <a:gdLst/>
                          <a:ahLst/>
                          <a:cxnLst/>
                          <a:rect l="0" t="0" r="0" b="0"/>
                          <a:pathLst>
                            <a:path w="7267575" h="57150">
                              <a:moveTo>
                                <a:pt x="0" y="0"/>
                              </a:moveTo>
                              <a:lnTo>
                                <a:pt x="7267575" y="57150"/>
                              </a:lnTo>
                            </a:path>
                          </a:pathLst>
                        </a:custGeom>
                        <a:ln w="38100" cap="flat">
                          <a:round/>
                        </a:ln>
                      </wps:spPr>
                      <wps:style>
                        <a:lnRef idx="1">
                          <a:srgbClr val="006FC0"/>
                        </a:lnRef>
                        <a:fillRef idx="0">
                          <a:srgbClr val="000000">
                            <a:alpha val="0"/>
                          </a:srgbClr>
                        </a:fillRef>
                        <a:effectRef idx="0">
                          <a:scrgbClr r="0" g="0" b="0"/>
                        </a:effectRef>
                        <a:fontRef idx="none"/>
                      </wps:style>
                      <wps:bodyPr/>
                    </wps:wsp>
                    <wps:wsp>
                      <wps:cNvPr id="21150" name="Shape 21150"/>
                      <wps:cNvSpPr/>
                      <wps:spPr>
                        <a:xfrm>
                          <a:off x="0" y="69850"/>
                          <a:ext cx="7272656" cy="63500"/>
                        </a:xfrm>
                        <a:custGeom>
                          <a:avLst/>
                          <a:gdLst/>
                          <a:ahLst/>
                          <a:cxnLst/>
                          <a:rect l="0" t="0" r="0" b="0"/>
                          <a:pathLst>
                            <a:path w="7272656" h="63500">
                              <a:moveTo>
                                <a:pt x="0" y="0"/>
                              </a:moveTo>
                              <a:lnTo>
                                <a:pt x="7272656" y="635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48" o:spid="_x0000_s1026" o:spt="203" style="position:absolute;left:0pt;margin-left:19.05pt;margin-top:113.5pt;height:10.5pt;width:572.65pt;mso-position-horizontal-relative:page;mso-position-vertical-relative:page;mso-wrap-distance-bottom:0pt;mso-wrap-distance-left:9pt;mso-wrap-distance-right:9pt;mso-wrap-distance-top:0pt;z-index:251664384;mso-width-relative:page;mso-height-relative:page;" coordsize="7272656,133350" o:gfxdata="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RyY4q9sAAAALAQAADwAAAAAAAAABACAAAAAiAAAAZHJz&#10;L2Rvd25yZXYueG1sUEsBAhQAFAAAAAgAh07iQGEBncqsAgAAPAgAAA4AAAAAAAAAAQAgAAAAKgEA&#10;AGRycy9lMm9Eb2MueG1sUEsFBgAAAAAGAAYAWQEAAEgGAAAAAA==&#10;">
              <o:lock v:ext="edit" aspectratio="f"/>
              <v:shape id="Shape 21149" o:spid="_x0000_s1026" o:spt="100" style="position:absolute;left:3810;top:0;height:57150;width:7267575;" filled="f" stroked="t" coordsize="7267575,57150" o:gfxdata="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AheW&#10;wAAAAN4AAAAPAAAAAAAAAAEAIAAAACIAAABkcnMvZG93bnJldi54bWxQSwECFAAUAAAACACHTuJA&#10;My8FnjsAAAA5AAAAEAAAAAAAAAABACAAAAAPAQAAZHJzL3NoYXBleG1sLnhtbFBLBQYAAAAABgAG&#10;AFsBAAC5AwAAAAA=&#10;" path="m0,0l7267575,57150e">
                <v:fill on="f" focussize="0,0"/>
                <v:stroke weight="3pt" color="#006FC0" miterlimit="8" joinstyle="round"/>
                <v:imagedata o:title=""/>
                <o:lock v:ext="edit" aspectratio="f"/>
              </v:shape>
              <v:shape id="Shape 21150" o:spid="_x0000_s1026" o:spt="100" style="position:absolute;left:0;top:69850;height:63500;width:7272656;" filled="f" stroked="t" coordsize="7272656,63500" o:gfxdata="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6Piu28AAAA&#10;3gAAAA8AAAAAAAAAAQAgAAAAIgAAAGRycy9kb3ducmV2LnhtbFBLAQIUABQAAAAIAIdO4kAzLwWe&#10;OwAAADkAAAAQAAAAAAAAAAEAIAAAAAsBAABkcnMvc2hhcGV4bWwueG1sUEsFBgAAAAAGAAYAWwEA&#10;ALUDAAAAAA==&#10;" path="m0,0l7272656,63500e">
                <v:fill on="f" focussize="0,0"/>
                <v:stroke color="#000000" miterlimit="8" joinstyle="round"/>
                <v:imagedata o:title=""/>
                <o:lock v:ext="edit" aspectratio="f"/>
              </v:shape>
              <w10:wrap type="square"/>
            </v:group>
          </w:pict>
        </mc:Fallback>
      </mc:AlternateContent>
    </w:r>
    <w:r>
      <w:rPr>
        <w:sz w:val="20"/>
      </w:rPr>
      <w:t xml:space="preserve">   </w:t>
    </w:r>
  </w:p>
  <w:p w14:paraId="12374A7D">
    <w:pPr>
      <w:spacing w:after="17" w:line="259" w:lineRule="auto"/>
      <w:ind w:left="0" w:right="179" w:firstLine="0"/>
      <w:jc w:val="right"/>
      <w:rPr>
        <w:lang w:val="pt-PT"/>
      </w:rPr>
    </w:pPr>
    <w:r>
      <w:rPr>
        <w:rFonts w:ascii="Cambria" w:hAnsi="Cambria" w:eastAsia="Cambria" w:cs="Cambria"/>
        <w:b/>
        <w:color w:val="17355D"/>
        <w:lang w:val="pt-PT"/>
      </w:rPr>
      <w:t>ISSN L 3072-9815</w:t>
    </w:r>
    <w:r>
      <w:rPr>
        <w:sz w:val="22"/>
        <w:lang w:val="pt-PT"/>
      </w:rPr>
      <w:t xml:space="preserve"> </w:t>
    </w:r>
  </w:p>
  <w:p w14:paraId="6E3152FC">
    <w:pPr>
      <w:tabs>
        <w:tab w:val="center" w:pos="3334"/>
        <w:tab w:val="center" w:pos="8770"/>
      </w:tabs>
      <w:spacing w:after="0" w:line="259" w:lineRule="auto"/>
      <w:ind w:left="0" w:firstLine="0"/>
      <w:jc w:val="left"/>
    </w:pPr>
    <w:r>
      <w:rPr>
        <w:rFonts w:ascii="Calibri" w:hAnsi="Calibri" w:eastAsia="Calibri" w:cs="Calibri"/>
        <w:sz w:val="22"/>
        <w:lang w:val="pt-PT"/>
      </w:rPr>
      <w:tab/>
    </w:r>
    <w:r>
      <w:rPr>
        <w:rFonts w:ascii="Cambria" w:hAnsi="Cambria" w:eastAsia="Cambria" w:cs="Cambria"/>
        <w:b/>
        <w:color w:val="17355D"/>
        <w:sz w:val="36"/>
        <w:lang w:val="pt-PT"/>
      </w:rPr>
      <w:t>Diálogos Educativos</w:t>
    </w:r>
    <w:r>
      <w:rPr>
        <w:sz w:val="22"/>
        <w:lang w:val="pt-PT"/>
      </w:rPr>
      <w:t xml:space="preserve"> </w:t>
    </w:r>
    <w:r>
      <w:rPr>
        <w:sz w:val="22"/>
        <w:lang w:val="pt-PT"/>
      </w:rPr>
      <w:tab/>
    </w:r>
    <w:r>
      <w:rPr>
        <w:rFonts w:ascii="Cambria" w:hAnsi="Cambria" w:eastAsia="Cambria" w:cs="Cambria"/>
        <w:sz w:val="22"/>
        <w:lang w:val="pt-PT"/>
      </w:rPr>
      <w:t xml:space="preserve">Vol.2. </w:t>
    </w:r>
    <w:r>
      <w:rPr>
        <w:rFonts w:ascii="Cambria" w:hAnsi="Cambria" w:eastAsia="Cambria" w:cs="Cambria"/>
        <w:sz w:val="22"/>
      </w:rPr>
      <w:t xml:space="preserve">NÚM 1.   </w:t>
    </w:r>
  </w:p>
  <w:p w14:paraId="754970E1">
    <w:pPr>
      <w:tabs>
        <w:tab w:val="center" w:pos="3257"/>
        <w:tab w:val="right" w:pos="9921"/>
      </w:tabs>
      <w:spacing w:after="9" w:line="259" w:lineRule="auto"/>
      <w:ind w:left="0" w:right="-22" w:firstLine="0"/>
      <w:jc w:val="left"/>
    </w:pPr>
    <w:r>
      <w:rPr>
        <w:rFonts w:ascii="Calibri" w:hAnsi="Calibri" w:eastAsia="Calibri" w:cs="Calibri"/>
        <w:sz w:val="22"/>
      </w:rPr>
      <w:tab/>
    </w:r>
    <w:r>
      <w:rPr>
        <w:rFonts w:ascii="Cambria" w:hAnsi="Cambria" w:eastAsia="Cambria" w:cs="Cambria"/>
        <w:sz w:val="22"/>
      </w:rPr>
      <w:t xml:space="preserve">Revista especializada en Ciencias de la Educación </w:t>
    </w:r>
    <w:r>
      <w:rPr>
        <w:sz w:val="22"/>
      </w:rPr>
      <w:t xml:space="preserve"> </w:t>
    </w:r>
    <w:r>
      <w:rPr>
        <w:sz w:val="22"/>
      </w:rPr>
      <w:tab/>
    </w:r>
    <w:r>
      <w:rPr>
        <w:rFonts w:ascii="Cambria" w:hAnsi="Cambria" w:eastAsia="Cambria" w:cs="Cambria"/>
        <w:sz w:val="22"/>
      </w:rPr>
      <w:t>Abril 2026 a marzo 2027</w:t>
    </w:r>
    <w:r>
      <w:rPr>
        <w:sz w:val="22"/>
      </w:rPr>
      <w:t xml:space="preserve"> </w:t>
    </w:r>
  </w:p>
  <w:p w14:paraId="1D7C6A57">
    <w:pPr>
      <w:spacing w:after="0" w:line="259" w:lineRule="auto"/>
      <w:ind w:left="8320" w:firstLine="0"/>
      <w:jc w:val="left"/>
    </w:pPr>
    <w:r>
      <w:rPr>
        <w:rFonts w:ascii="Times New Roman" w:hAnsi="Times New Roman" w:eastAsia="Times New Roman" w:cs="Times New Roman"/>
      </w:rPr>
      <w:t xml:space="preserve">pp. </w:t>
    </w:r>
    <w:r>
      <w:rPr>
        <w:sz w:val="22"/>
      </w:rPr>
      <w:t xml:space="preserve"> </w:t>
    </w:r>
    <w:r>
      <w:rPr>
        <w:rFonts w:ascii="Times New Roman" w:hAnsi="Times New Roman" w:eastAsia="Times New Roman" w:cs="Times New Roman"/>
        <w:sz w:val="22"/>
      </w:rPr>
      <w:t>2-25</w:t>
    </w: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E7359"/>
    <w:multiLevelType w:val="multilevel"/>
    <w:tmpl w:val="2ABE7359"/>
    <w:lvl w:ilvl="0" w:tentative="0">
      <w:start w:val="1"/>
      <w:numFmt w:val="decimal"/>
      <w:pStyle w:val="2"/>
      <w:lvlText w:val="%1."/>
      <w:lvlJc w:val="left"/>
      <w:pPr>
        <w:ind w:left="0"/>
      </w:pPr>
      <w:rPr>
        <w:rFonts w:ascii="Arial" w:hAnsi="Arial" w:eastAsia="Arial" w:cs="Arial"/>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800"/>
      </w:pPr>
      <w:rPr>
        <w:rFonts w:ascii="Arial" w:hAnsi="Arial" w:eastAsia="Arial" w:cs="Arial"/>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520"/>
      </w:pPr>
      <w:rPr>
        <w:rFonts w:ascii="Arial" w:hAnsi="Arial" w:eastAsia="Arial" w:cs="Arial"/>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240"/>
      </w:pPr>
      <w:rPr>
        <w:rFonts w:ascii="Arial" w:hAnsi="Arial" w:eastAsia="Arial" w:cs="Arial"/>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960"/>
      </w:pPr>
      <w:rPr>
        <w:rFonts w:ascii="Arial" w:hAnsi="Arial" w:eastAsia="Arial" w:cs="Arial"/>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680"/>
      </w:pPr>
      <w:rPr>
        <w:rFonts w:ascii="Arial" w:hAnsi="Arial" w:eastAsia="Arial" w:cs="Arial"/>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400"/>
      </w:pPr>
      <w:rPr>
        <w:rFonts w:ascii="Arial" w:hAnsi="Arial" w:eastAsia="Arial" w:cs="Arial"/>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120"/>
      </w:pPr>
      <w:rPr>
        <w:rFonts w:ascii="Arial" w:hAnsi="Arial" w:eastAsia="Arial" w:cs="Arial"/>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840"/>
      </w:pPr>
      <w:rPr>
        <w:rFonts w:ascii="Arial" w:hAnsi="Arial" w:eastAsia="Arial" w:cs="Arial"/>
        <w:b/>
        <w:bCs/>
        <w:i w:val="0"/>
        <w:strike w:val="0"/>
        <w:dstrike w:val="0"/>
        <w:color w:val="000000"/>
        <w:sz w:val="24"/>
        <w:szCs w:val="24"/>
        <w:u w:val="none" w:color="000000"/>
        <w:shd w:val="clear" w:color="auto" w:fill="auto"/>
        <w:vertAlign w:val="baseline"/>
      </w:rPr>
    </w:lvl>
  </w:abstractNum>
  <w:abstractNum w:abstractNumId="1">
    <w:nsid w:val="44F65A46"/>
    <w:multiLevelType w:val="multilevel"/>
    <w:tmpl w:val="44F65A4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9C"/>
    <w:rsid w:val="000A5F55"/>
    <w:rsid w:val="00527C60"/>
    <w:rsid w:val="006805AB"/>
    <w:rsid w:val="00816D2B"/>
    <w:rsid w:val="00870F78"/>
    <w:rsid w:val="00874591"/>
    <w:rsid w:val="008A5800"/>
    <w:rsid w:val="0092009C"/>
    <w:rsid w:val="00924420"/>
    <w:rsid w:val="00B2435C"/>
    <w:rsid w:val="00B46B89"/>
    <w:rsid w:val="00B81320"/>
    <w:rsid w:val="00C1682A"/>
    <w:rsid w:val="00D56970"/>
    <w:rsid w:val="00DC4526"/>
    <w:rsid w:val="1EED29E2"/>
    <w:rsid w:val="33D4549D"/>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38" w:line="360" w:lineRule="auto"/>
      <w:ind w:left="17" w:firstLine="710"/>
      <w:jc w:val="both"/>
    </w:pPr>
    <w:rPr>
      <w:rFonts w:ascii="Arial" w:hAnsi="Arial" w:eastAsia="Arial" w:cs="Arial"/>
      <w:color w:val="000000"/>
      <w:kern w:val="2"/>
      <w:sz w:val="24"/>
      <w:szCs w:val="24"/>
      <w:lang w:val="es-PA" w:eastAsia="es-PA" w:bidi="ar-SA"/>
      <w14:ligatures w14:val="standardContextual"/>
    </w:rPr>
  </w:style>
  <w:style w:type="paragraph" w:styleId="2">
    <w:name w:val="heading 1"/>
    <w:next w:val="1"/>
    <w:link w:val="9"/>
    <w:qFormat/>
    <w:uiPriority w:val="9"/>
    <w:pPr>
      <w:keepNext/>
      <w:keepLines/>
      <w:numPr>
        <w:ilvl w:val="0"/>
        <w:numId w:val="1"/>
      </w:numPr>
      <w:spacing w:after="352" w:line="263" w:lineRule="auto"/>
      <w:ind w:left="332" w:hanging="10"/>
      <w:outlineLvl w:val="0"/>
    </w:pPr>
    <w:rPr>
      <w:rFonts w:ascii="Arial" w:hAnsi="Arial" w:eastAsia="Arial" w:cs="Arial"/>
      <w:b/>
      <w:color w:val="000000"/>
      <w:kern w:val="2"/>
      <w:sz w:val="24"/>
      <w:szCs w:val="24"/>
      <w:lang w:val="es-PA" w:eastAsia="es-PA" w:bidi="ar-SA"/>
      <w14:ligatures w14:val="standardContextua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467886" w:themeColor="hyperlink"/>
      <w:u w:val="single"/>
      <w14:textFill>
        <w14:solidFill>
          <w14:schemeClr w14:val="hlink"/>
        </w14:solidFill>
      </w14:textFill>
    </w:rPr>
  </w:style>
  <w:style w:type="character" w:styleId="6">
    <w:name w:val="page number"/>
    <w:basedOn w:val="3"/>
    <w:semiHidden/>
    <w:unhideWhenUsed/>
    <w:qFormat/>
    <w:uiPriority w:val="99"/>
  </w:style>
  <w:style w:type="paragraph" w:styleId="7">
    <w:name w:val="header"/>
    <w:basedOn w:val="1"/>
    <w:link w:val="12"/>
    <w:unhideWhenUsed/>
    <w:qFormat/>
    <w:uiPriority w:val="99"/>
    <w:pPr>
      <w:tabs>
        <w:tab w:val="center" w:pos="4419"/>
        <w:tab w:val="right" w:pos="8838"/>
      </w:tabs>
      <w:spacing w:after="0" w:line="240" w:lineRule="auto"/>
    </w:pPr>
  </w:style>
  <w:style w:type="paragraph" w:styleId="8">
    <w:name w:val="footer"/>
    <w:basedOn w:val="1"/>
    <w:link w:val="11"/>
    <w:unhideWhenUsed/>
    <w:qFormat/>
    <w:uiPriority w:val="99"/>
    <w:pPr>
      <w:tabs>
        <w:tab w:val="center" w:pos="4419"/>
        <w:tab w:val="right" w:pos="8838"/>
      </w:tabs>
      <w:spacing w:after="0" w:line="240" w:lineRule="auto"/>
    </w:pPr>
  </w:style>
  <w:style w:type="character" w:customStyle="1" w:styleId="9">
    <w:name w:val="Título 1 Car"/>
    <w:link w:val="2"/>
    <w:qFormat/>
    <w:uiPriority w:val="0"/>
    <w:rPr>
      <w:rFonts w:ascii="Arial" w:hAnsi="Arial" w:eastAsia="Arial" w:cs="Arial"/>
      <w:b/>
      <w:color w:val="000000"/>
      <w:sz w:val="24"/>
    </w:rPr>
  </w:style>
  <w:style w:type="character" w:customStyle="1" w:styleId="10">
    <w:name w:val="Unresolved Mention"/>
    <w:basedOn w:val="3"/>
    <w:semiHidden/>
    <w:unhideWhenUsed/>
    <w:qFormat/>
    <w:uiPriority w:val="99"/>
    <w:rPr>
      <w:color w:val="605E5C"/>
      <w:shd w:val="clear" w:color="auto" w:fill="E1DFDD"/>
    </w:rPr>
  </w:style>
  <w:style w:type="character" w:customStyle="1" w:styleId="11">
    <w:name w:val="Pie de página Car"/>
    <w:basedOn w:val="3"/>
    <w:link w:val="8"/>
    <w:qFormat/>
    <w:uiPriority w:val="99"/>
    <w:rPr>
      <w:rFonts w:ascii="Arial" w:hAnsi="Arial" w:eastAsia="Arial" w:cs="Arial"/>
      <w:color w:val="000000"/>
    </w:rPr>
  </w:style>
  <w:style w:type="character" w:customStyle="1" w:styleId="12">
    <w:name w:val="Encabezado Car"/>
    <w:basedOn w:val="3"/>
    <w:link w:val="7"/>
    <w:uiPriority w:val="99"/>
    <w:rPr>
      <w:rFonts w:ascii="Arial" w:hAnsi="Arial" w:eastAsia="Arial" w:cs="Arial"/>
      <w:color w:val="000000"/>
    </w:rPr>
  </w:style>
  <w:style w:type="paragraph" w:styleId="13">
    <w:name w:val="No Spacing"/>
    <w:qFormat/>
    <w:uiPriority w:val="1"/>
    <w:pPr>
      <w:spacing w:after="0" w:line="240" w:lineRule="auto"/>
      <w:ind w:left="17" w:firstLine="710"/>
      <w:jc w:val="both"/>
    </w:pPr>
    <w:rPr>
      <w:rFonts w:ascii="Arial" w:hAnsi="Arial" w:eastAsia="Arial" w:cs="Arial"/>
      <w:color w:val="000000"/>
      <w:kern w:val="2"/>
      <w:sz w:val="24"/>
      <w:szCs w:val="24"/>
      <w:lang w:val="es-PA" w:eastAsia="es-PA"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1AB03-2434-C747-8FB6-8C5D4B3C577F}">
  <ds:schemaRefs/>
</ds:datastoreItem>
</file>

<file path=docProps/app.xml><?xml version="1.0" encoding="utf-8"?>
<Properties xmlns="http://schemas.openxmlformats.org/officeDocument/2006/extended-properties" xmlns:vt="http://schemas.openxmlformats.org/officeDocument/2006/docPropsVTypes">
  <Template>Normal</Template>
  <Pages>34</Pages>
  <Words>2721</Words>
  <Characters>17543</Characters>
  <Lines>309</Lines>
  <Paragraphs>87</Paragraphs>
  <TotalTime>5</TotalTime>
  <ScaleCrop>false</ScaleCrop>
  <LinksUpToDate>false</LinksUpToDate>
  <CharactersWithSpaces>20283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2026-05-25T16:26:00Z</dcterms:created>
  <dc:creator>Rolando Jaramillo</dc:creator>
  <cp:lastModifiedBy>zenaida fossatti</cp:lastModifiedBy>
  <dcterms:modified xsi:type="dcterms:W3CDTF">2026-05-28T22:38:10Z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eyJoZGlkIjoiNmNjZTM1MDFjMzExNDU2NzczODQ3N2YzYWY2MmYxMWEiLCJ1c2VySWQiOiIyMjAwNzg5MDQ0NzU1NSJ9</vt:lpwstr>
  </property>
  <property fmtid="{D5CDD505-2E9C-101B-9397-08002B2CF9AE}" pid="3" name="KSOProductBuildVer">
    <vt:lpwstr>2058-12.1.0.26372</vt:lpwstr>
  </property>
  <property fmtid="{D5CDD505-2E9C-101B-9397-08002B2CF9AE}" pid="4" name="ICV">
    <vt:lpwstr>90EB3F785BD640C08696AE2022E80DD3_12</vt:lpwstr>
  </property>
</Properties>
</file>